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 w:after="19"/>
        <w:ind w:left="139"/>
        <w:rPr>
          <w:rFonts w:ascii="Times New Roman" w:hAnsi="Times New Roman"/>
        </w:rPr>
      </w:pPr>
      <w:r>
        <w:rPr>
          <w:rFonts w:ascii="Times New Roman" w:hAnsi="Times New Roman"/>
        </w:rPr>
        <w:t>NORMAS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para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establecer</w:t>
      </w:r>
      <w:r>
        <w:rPr>
          <w:rFonts w:ascii="Times New Roman" w:hAnsi="Times New Roman"/>
          <w:spacing w:val="7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7"/>
        </w:rPr>
        <w:t> </w:t>
      </w:r>
      <w:r>
        <w:rPr>
          <w:rFonts w:ascii="Times New Roman" w:hAnsi="Times New Roman"/>
        </w:rPr>
        <w:t>estructura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7"/>
        </w:rPr>
        <w:t> </w:t>
      </w:r>
      <w:r>
        <w:rPr>
          <w:rFonts w:ascii="Times New Roman" w:hAnsi="Times New Roman"/>
        </w:rPr>
        <w:t>información</w:t>
      </w:r>
      <w:r>
        <w:rPr>
          <w:rFonts w:ascii="Times New Roman" w:hAnsi="Times New Roman"/>
          <w:spacing w:val="7"/>
        </w:rPr>
        <w:t> </w:t>
      </w:r>
      <w:r>
        <w:rPr>
          <w:rFonts w:ascii="Times New Roman" w:hAnsi="Times New Roman"/>
        </w:rPr>
        <w:t>del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formato</w:t>
      </w:r>
      <w:r>
        <w:rPr>
          <w:rFonts w:ascii="Times New Roman" w:hAnsi="Times New Roman"/>
          <w:spacing w:val="9"/>
        </w:rPr>
        <w:t> </w:t>
      </w:r>
      <w:r>
        <w:rPr>
          <w:rFonts w:ascii="Times New Roman" w:hAnsi="Times New Roman"/>
        </w:rPr>
        <w:t>del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ejercicio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destino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9"/>
        </w:rPr>
        <w:t> </w:t>
      </w:r>
      <w:r>
        <w:rPr>
          <w:rFonts w:ascii="Times New Roman" w:hAnsi="Times New Roman"/>
        </w:rPr>
        <w:t>gasto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federalizado</w:t>
      </w:r>
      <w:r>
        <w:rPr>
          <w:rFonts w:ascii="Times New Roman" w:hAnsi="Times New Roman"/>
          <w:spacing w:val="13"/>
        </w:rPr>
        <w:t> 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-42"/>
        </w:rPr>
        <w:t> </w:t>
      </w:r>
      <w:r>
        <w:rPr>
          <w:rFonts w:ascii="Times New Roman" w:hAnsi="Times New Roman"/>
        </w:rPr>
        <w:t>reintegros.</w:t>
      </w:r>
    </w:p>
    <w:p>
      <w:pPr>
        <w:pStyle w:val="BodyText"/>
        <w:spacing w:line="28" w:lineRule="exact"/>
        <w:ind w:left="110" w:firstLine="0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ind w:left="0" w:firstLine="0"/>
        <w:rPr>
          <w:rFonts w:ascii="Times New Roman"/>
          <w:b/>
          <w:sz w:val="11"/>
        </w:rPr>
      </w:pPr>
    </w:p>
    <w:p>
      <w:pPr>
        <w:pStyle w:val="BodyText"/>
        <w:spacing w:line="249" w:lineRule="auto" w:before="94"/>
        <w:ind w:left="139" w:right="134" w:firstLine="288"/>
        <w:jc w:val="both"/>
      </w:pPr>
      <w:r>
        <w:rPr/>
        <w:t>Con</w:t>
      </w:r>
      <w:r>
        <w:rPr>
          <w:spacing w:val="1"/>
        </w:rPr>
        <w:t> </w:t>
      </w:r>
      <w:r>
        <w:rPr/>
        <w:t>fundamento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9,</w:t>
      </w:r>
      <w:r>
        <w:rPr>
          <w:spacing w:val="1"/>
        </w:rPr>
        <w:t> </w:t>
      </w:r>
      <w:r>
        <w:rPr/>
        <w:t>fracciones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IX,</w:t>
      </w:r>
      <w:r>
        <w:rPr>
          <w:spacing w:val="1"/>
        </w:rPr>
        <w:t> </w:t>
      </w:r>
      <w:r>
        <w:rPr/>
        <w:t>14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81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Transitorio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adiciona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 Gubernamental, para transparentar y armonizar la información financiera relativa a la aplicación</w:t>
      </w:r>
      <w:r>
        <w:rPr>
          <w:spacing w:val="1"/>
        </w:rPr>
        <w:t> </w:t>
      </w:r>
      <w:r>
        <w:rPr/>
        <w:t>de recursos públicos en los distintos órdenes de gobierno publicado en el Diario Oficial de la Federación</w:t>
      </w:r>
      <w:r>
        <w:rPr>
          <w:spacing w:val="1"/>
        </w:rPr>
        <w:t> </w:t>
      </w:r>
      <w:r>
        <w:rPr/>
        <w:t>el 12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 de</w:t>
      </w:r>
      <w:r>
        <w:rPr>
          <w:spacing w:val="-2"/>
        </w:rPr>
        <w:t> </w:t>
      </w:r>
      <w:r>
        <w:rPr/>
        <w:t>2012 se emite la:</w:t>
      </w:r>
    </w:p>
    <w:p>
      <w:pPr>
        <w:pStyle w:val="Heading1"/>
        <w:spacing w:line="247" w:lineRule="auto" w:before="47"/>
        <w:ind w:left="3469" w:hanging="3042"/>
      </w:pPr>
      <w:r>
        <w:rPr/>
        <w:t>Normas</w:t>
      </w:r>
      <w:r>
        <w:rPr>
          <w:spacing w:val="-2"/>
        </w:rPr>
        <w:t> </w:t>
      </w:r>
      <w:r>
        <w:rPr/>
        <w:t>para</w:t>
      </w:r>
      <w:r>
        <w:rPr>
          <w:spacing w:val="-4"/>
        </w:rPr>
        <w:t> </w:t>
      </w:r>
      <w:r>
        <w:rPr/>
        <w:t>establecer</w:t>
      </w:r>
      <w:r>
        <w:rPr>
          <w:spacing w:val="-1"/>
        </w:rPr>
        <w:t> </w:t>
      </w:r>
      <w:r>
        <w:rPr/>
        <w:t>la</w:t>
      </w:r>
      <w:r>
        <w:rPr>
          <w:spacing w:val="-4"/>
        </w:rPr>
        <w:t> </w:t>
      </w:r>
      <w:r>
        <w:rPr/>
        <w:t>estructura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formato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ejercicio</w:t>
      </w:r>
      <w:r>
        <w:rPr>
          <w:spacing w:val="2"/>
        </w:rPr>
        <w:t> </w:t>
      </w:r>
      <w:r>
        <w:rPr/>
        <w:t>y</w:t>
      </w:r>
      <w:r>
        <w:rPr>
          <w:spacing w:val="-8"/>
        </w:rPr>
        <w:t> </w:t>
      </w:r>
      <w:r>
        <w:rPr/>
        <w:t>destino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gasto</w:t>
      </w:r>
      <w:r>
        <w:rPr>
          <w:spacing w:val="-47"/>
        </w:rPr>
        <w:t> </w:t>
      </w:r>
      <w:r>
        <w:rPr/>
        <w:t>federalizado</w:t>
      </w:r>
      <w:r>
        <w:rPr>
          <w:spacing w:val="-1"/>
        </w:rPr>
        <w:t> </w:t>
      </w:r>
      <w:r>
        <w:rPr/>
        <w:t>y</w:t>
      </w:r>
      <w:r>
        <w:rPr>
          <w:spacing w:val="-7"/>
        </w:rPr>
        <w:t> </w:t>
      </w:r>
      <w:r>
        <w:rPr/>
        <w:t>reintegros.</w:t>
      </w:r>
    </w:p>
    <w:p>
      <w:pPr>
        <w:spacing w:before="44"/>
        <w:ind w:left="42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55" w:after="0"/>
        <w:ind w:left="859" w:right="139" w:hanging="432"/>
        <w:jc w:val="both"/>
        <w:rPr>
          <w:sz w:val="18"/>
        </w:rPr>
      </w:pPr>
      <w:r>
        <w:rPr>
          <w:sz w:val="18"/>
        </w:rPr>
        <w:t>Establecer la estructura del formato del ejercicio y destino de gasto federalizado, así como de</w:t>
      </w:r>
      <w:r>
        <w:rPr>
          <w:spacing w:val="1"/>
          <w:sz w:val="18"/>
        </w:rPr>
        <w:t> </w:t>
      </w:r>
      <w:r>
        <w:rPr>
          <w:sz w:val="18"/>
        </w:rPr>
        <w:t>reintegros para que la información financiera que generen y publiquen los entes obligados sea con</w:t>
      </w:r>
      <w:r>
        <w:rPr>
          <w:spacing w:val="1"/>
          <w:sz w:val="18"/>
        </w:rPr>
        <w:t> </w:t>
      </w:r>
      <w:r>
        <w:rPr>
          <w:sz w:val="18"/>
        </w:rPr>
        <w:t>base</w:t>
      </w:r>
      <w:r>
        <w:rPr>
          <w:spacing w:val="-3"/>
          <w:sz w:val="18"/>
        </w:rPr>
        <w:t> </w:t>
      </w:r>
      <w:r>
        <w:rPr>
          <w:sz w:val="18"/>
        </w:rPr>
        <w:t>en</w:t>
      </w:r>
      <w:r>
        <w:rPr>
          <w:spacing w:val="-2"/>
          <w:sz w:val="18"/>
        </w:rPr>
        <w:t> </w:t>
      </w:r>
      <w:r>
        <w:rPr>
          <w:sz w:val="18"/>
        </w:rPr>
        <w:t>estructuras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formatos</w:t>
      </w:r>
      <w:r>
        <w:rPr>
          <w:spacing w:val="1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</w:pPr>
      <w:r>
        <w:rPr/>
        <w:t>Ambito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7" w:lineRule="auto" w:before="54" w:after="0"/>
        <w:ind w:left="859" w:right="138" w:hanging="432"/>
        <w:jc w:val="both"/>
        <w:rPr>
          <w:sz w:val="18"/>
        </w:rPr>
      </w:pP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presentes</w:t>
      </w:r>
      <w:r>
        <w:rPr>
          <w:spacing w:val="1"/>
          <w:sz w:val="18"/>
        </w:rPr>
        <w:t> </w:t>
      </w:r>
      <w:r>
        <w:rPr>
          <w:sz w:val="18"/>
        </w:rPr>
        <w:t>disposiciones</w:t>
      </w:r>
      <w:r>
        <w:rPr>
          <w:spacing w:val="1"/>
          <w:sz w:val="18"/>
        </w:rPr>
        <w:t> </w:t>
      </w:r>
      <w:r>
        <w:rPr>
          <w:sz w:val="18"/>
        </w:rPr>
        <w:t>serán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observancia</w:t>
      </w:r>
      <w:r>
        <w:rPr>
          <w:spacing w:val="1"/>
          <w:sz w:val="18"/>
        </w:rPr>
        <w:t> </w:t>
      </w:r>
      <w:r>
        <w:rPr>
          <w:sz w:val="18"/>
        </w:rPr>
        <w:t>obligatoria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entidades</w:t>
      </w:r>
      <w:r>
        <w:rPr>
          <w:spacing w:val="1"/>
          <w:sz w:val="18"/>
        </w:rPr>
        <w:t> </w:t>
      </w:r>
      <w:r>
        <w:rPr>
          <w:sz w:val="18"/>
        </w:rPr>
        <w:t>federativas,</w:t>
      </w:r>
      <w:r>
        <w:rPr>
          <w:spacing w:val="1"/>
          <w:sz w:val="18"/>
        </w:rPr>
        <w:t> </w:t>
      </w:r>
      <w:r>
        <w:rPr>
          <w:sz w:val="18"/>
        </w:rPr>
        <w:t>municipios y</w:t>
      </w:r>
      <w:r>
        <w:rPr>
          <w:spacing w:val="-1"/>
          <w:sz w:val="18"/>
        </w:rPr>
        <w:t> </w:t>
      </w:r>
      <w:r>
        <w:rPr>
          <w:sz w:val="18"/>
        </w:rPr>
        <w:t>demarcaciones territoriales</w:t>
      </w:r>
      <w:r>
        <w:rPr>
          <w:spacing w:val="1"/>
          <w:sz w:val="18"/>
        </w:rPr>
        <w:t> </w:t>
      </w:r>
      <w:r>
        <w:rPr>
          <w:sz w:val="18"/>
        </w:rPr>
        <w:t>del Distrito</w:t>
      </w:r>
      <w:r>
        <w:rPr>
          <w:spacing w:val="-1"/>
          <w:sz w:val="18"/>
        </w:rPr>
        <w:t> </w:t>
      </w:r>
      <w:r>
        <w:rPr>
          <w:sz w:val="18"/>
        </w:rPr>
        <w:t>Federal.</w:t>
      </w:r>
    </w:p>
    <w:p>
      <w:pPr>
        <w:pStyle w:val="Heading1"/>
        <w:spacing w:before="45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54" w:after="0"/>
        <w:ind w:left="859" w:right="143" w:hanging="432"/>
        <w:jc w:val="both"/>
        <w:rPr>
          <w:sz w:val="18"/>
        </w:rPr>
      </w:pPr>
      <w:r>
        <w:rPr>
          <w:sz w:val="18"/>
        </w:rPr>
        <w:t>De conformidad al artículo 81 de la Ley General de Contabilidad Gubernamental, la información</w:t>
      </w:r>
      <w:r>
        <w:rPr>
          <w:spacing w:val="1"/>
          <w:sz w:val="18"/>
        </w:rPr>
        <w:t> </w:t>
      </w:r>
      <w:r>
        <w:rPr>
          <w:sz w:val="18"/>
        </w:rPr>
        <w:t>respecto al ejercicio y destino del gasto federalizado, así como respecto al reintegro de los recursos</w:t>
      </w:r>
      <w:r>
        <w:rPr>
          <w:spacing w:val="1"/>
          <w:sz w:val="18"/>
        </w:rPr>
        <w:t> </w:t>
      </w:r>
      <w:r>
        <w:rPr>
          <w:sz w:val="18"/>
        </w:rPr>
        <w:t>federales no devengados por los entes obligados, para efectos de los informes trimestrales y la</w:t>
      </w:r>
      <w:r>
        <w:rPr>
          <w:spacing w:val="1"/>
          <w:sz w:val="18"/>
        </w:rPr>
        <w:t> </w:t>
      </w:r>
      <w:r>
        <w:rPr>
          <w:sz w:val="18"/>
        </w:rPr>
        <w:t>cuenta</w:t>
      </w:r>
      <w:r>
        <w:rPr>
          <w:spacing w:val="1"/>
          <w:sz w:val="18"/>
        </w:rPr>
        <w:t> </w:t>
      </w:r>
      <w:r>
        <w:rPr>
          <w:sz w:val="18"/>
        </w:rPr>
        <w:t>pública,</w:t>
      </w:r>
      <w:r>
        <w:rPr>
          <w:spacing w:val="1"/>
          <w:sz w:val="18"/>
        </w:rPr>
        <w:t> </w:t>
      </w:r>
      <w:r>
        <w:rPr>
          <w:sz w:val="18"/>
        </w:rPr>
        <w:t>deberá</w:t>
      </w:r>
      <w:r>
        <w:rPr>
          <w:spacing w:val="1"/>
          <w:sz w:val="18"/>
        </w:rPr>
        <w:t> </w:t>
      </w:r>
      <w:r>
        <w:rPr>
          <w:sz w:val="18"/>
        </w:rPr>
        <w:t>presentarse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1"/>
          <w:sz w:val="18"/>
        </w:rPr>
        <w:t> </w:t>
      </w:r>
      <w:r>
        <w:rPr>
          <w:sz w:val="18"/>
        </w:rPr>
        <w:t>formatos</w:t>
      </w:r>
      <w:r>
        <w:rPr>
          <w:spacing w:val="1"/>
          <w:sz w:val="18"/>
        </w:rPr>
        <w:t> </w:t>
      </w:r>
      <w:r>
        <w:rPr>
          <w:sz w:val="18"/>
        </w:rPr>
        <w:t>aprobados</w:t>
      </w:r>
      <w:r>
        <w:rPr>
          <w:spacing w:val="1"/>
          <w:sz w:val="18"/>
        </w:rPr>
        <w:t> </w:t>
      </w:r>
      <w:r>
        <w:rPr>
          <w:sz w:val="18"/>
        </w:rPr>
        <w:t>por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Consejo</w:t>
      </w:r>
      <w:r>
        <w:rPr>
          <w:spacing w:val="1"/>
          <w:sz w:val="18"/>
        </w:rPr>
        <w:t> </w:t>
      </w:r>
      <w:r>
        <w:rPr>
          <w:sz w:val="18"/>
        </w:rPr>
        <w:t>Nacional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Armonización</w:t>
      </w:r>
      <w:r>
        <w:rPr>
          <w:spacing w:val="-1"/>
          <w:sz w:val="18"/>
        </w:rPr>
        <w:t> </w:t>
      </w:r>
      <w:r>
        <w:rPr>
          <w:sz w:val="18"/>
        </w:rPr>
        <w:t>Contable.</w:t>
      </w:r>
    </w:p>
    <w:p>
      <w:pPr>
        <w:pStyle w:val="Heading1"/>
        <w:spacing w:before="42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7" w:lineRule="auto" w:before="55" w:after="0"/>
        <w:ind w:left="859" w:right="144" w:hanging="432"/>
        <w:jc w:val="left"/>
        <w:rPr>
          <w:sz w:val="18"/>
        </w:rPr>
      </w:pPr>
      <w:r>
        <w:rPr>
          <w:sz w:val="18"/>
        </w:rPr>
        <w:t>Esquema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integración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información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ejercicio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destino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gasto</w:t>
      </w:r>
      <w:r>
        <w:rPr>
          <w:spacing w:val="1"/>
          <w:sz w:val="18"/>
        </w:rPr>
        <w:t> </w:t>
      </w:r>
      <w:r>
        <w:rPr>
          <w:sz w:val="18"/>
        </w:rPr>
        <w:t>federalizado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47"/>
          <w:sz w:val="18"/>
        </w:rPr>
        <w:t> </w:t>
      </w:r>
      <w:r>
        <w:rPr>
          <w:sz w:val="18"/>
        </w:rPr>
        <w:t>reintegros,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2"/>
          <w:sz w:val="18"/>
        </w:rPr>
        <w:t> </w:t>
      </w:r>
      <w:r>
        <w:rPr>
          <w:sz w:val="18"/>
        </w:rPr>
        <w:t>formato</w:t>
      </w:r>
      <w:r>
        <w:rPr>
          <w:spacing w:val="-2"/>
          <w:sz w:val="18"/>
        </w:rPr>
        <w:t> </w:t>
      </w: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integra</w:t>
      </w:r>
      <w:r>
        <w:rPr>
          <w:spacing w:val="-1"/>
          <w:sz w:val="18"/>
        </w:rPr>
        <w:t> </w:t>
      </w:r>
      <w:r>
        <w:rPr>
          <w:sz w:val="18"/>
        </w:rPr>
        <w:t>principalmente por: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44" w:after="0"/>
        <w:ind w:left="1219" w:right="0" w:hanging="361"/>
        <w:jc w:val="left"/>
        <w:rPr>
          <w:sz w:val="18"/>
        </w:rPr>
      </w:pPr>
      <w:r>
        <w:rPr>
          <w:sz w:val="18"/>
        </w:rPr>
        <w:t>Programa</w:t>
      </w:r>
      <w:r>
        <w:rPr>
          <w:spacing w:val="-3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</w:t>
      </w:r>
      <w:r>
        <w:rPr>
          <w:sz w:val="18"/>
        </w:rPr>
        <w:t>Fondo:</w:t>
      </w:r>
      <w:r>
        <w:rPr>
          <w:spacing w:val="-2"/>
          <w:sz w:val="18"/>
        </w:rPr>
        <w:t> </w:t>
      </w:r>
      <w:r>
        <w:rPr>
          <w:sz w:val="18"/>
        </w:rPr>
        <w:t>detalle</w:t>
      </w:r>
      <w:r>
        <w:rPr>
          <w:spacing w:val="-2"/>
          <w:sz w:val="18"/>
        </w:rPr>
        <w:t> </w:t>
      </w:r>
      <w:r>
        <w:rPr>
          <w:sz w:val="18"/>
        </w:rPr>
        <w:t>del</w:t>
      </w:r>
      <w:r>
        <w:rPr>
          <w:spacing w:val="-4"/>
          <w:sz w:val="18"/>
        </w:rPr>
        <w:t> </w:t>
      </w:r>
      <w:r>
        <w:rPr>
          <w:sz w:val="18"/>
        </w:rPr>
        <w:t>Fondo</w:t>
      </w:r>
      <w:r>
        <w:rPr>
          <w:spacing w:val="-4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</w:t>
      </w:r>
      <w:r>
        <w:rPr>
          <w:sz w:val="18"/>
        </w:rPr>
        <w:t>Programa.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52" w:after="0"/>
        <w:ind w:left="1219" w:right="0" w:hanging="361"/>
        <w:jc w:val="left"/>
        <w:rPr>
          <w:sz w:val="18"/>
        </w:rPr>
      </w:pPr>
      <w:r>
        <w:rPr>
          <w:sz w:val="18"/>
        </w:rPr>
        <w:t>Destino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Recursos:</w:t>
      </w:r>
      <w:r>
        <w:rPr>
          <w:spacing w:val="-3"/>
          <w:sz w:val="18"/>
        </w:rPr>
        <w:t> </w:t>
      </w:r>
      <w:r>
        <w:rPr>
          <w:sz w:val="18"/>
        </w:rPr>
        <w:t>población</w:t>
      </w:r>
      <w:r>
        <w:rPr>
          <w:spacing w:val="-2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que</w:t>
      </w:r>
      <w:r>
        <w:rPr>
          <w:spacing w:val="-3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dirigen</w:t>
      </w:r>
      <w:r>
        <w:rPr>
          <w:spacing w:val="-2"/>
          <w:sz w:val="18"/>
        </w:rPr>
        <w:t> </w:t>
      </w:r>
      <w:r>
        <w:rPr>
          <w:sz w:val="18"/>
        </w:rPr>
        <w:t>los recursos</w:t>
      </w:r>
      <w:r>
        <w:rPr>
          <w:spacing w:val="-3"/>
          <w:sz w:val="18"/>
        </w:rPr>
        <w:t> </w:t>
      </w:r>
      <w:r>
        <w:rPr>
          <w:sz w:val="18"/>
        </w:rPr>
        <w:t>del</w:t>
      </w:r>
      <w:r>
        <w:rPr>
          <w:spacing w:val="-3"/>
          <w:sz w:val="18"/>
        </w:rPr>
        <w:t> </w:t>
      </w:r>
      <w:r>
        <w:rPr>
          <w:sz w:val="18"/>
        </w:rPr>
        <w:t>programa</w:t>
      </w:r>
      <w:r>
        <w:rPr>
          <w:spacing w:val="-4"/>
          <w:sz w:val="18"/>
        </w:rPr>
        <w:t> </w:t>
      </w:r>
      <w:r>
        <w:rPr>
          <w:sz w:val="18"/>
        </w:rPr>
        <w:t>o</w:t>
      </w:r>
      <w:r>
        <w:rPr>
          <w:spacing w:val="-1"/>
          <w:sz w:val="18"/>
        </w:rPr>
        <w:t> </w:t>
      </w:r>
      <w:r>
        <w:rPr>
          <w:sz w:val="18"/>
        </w:rPr>
        <w:t>fondo.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7" w:lineRule="auto" w:before="53" w:after="0"/>
        <w:ind w:left="1219" w:right="148" w:hanging="360"/>
        <w:jc w:val="left"/>
        <w:rPr>
          <w:sz w:val="18"/>
        </w:rPr>
      </w:pPr>
      <w:r>
        <w:rPr>
          <w:sz w:val="18"/>
        </w:rPr>
        <w:t>Ejercicio:</w:t>
      </w:r>
      <w:r>
        <w:rPr>
          <w:spacing w:val="8"/>
          <w:sz w:val="18"/>
        </w:rPr>
        <w:t> </w:t>
      </w:r>
      <w:r>
        <w:rPr>
          <w:sz w:val="18"/>
        </w:rPr>
        <w:t>se</w:t>
      </w:r>
      <w:r>
        <w:rPr>
          <w:spacing w:val="8"/>
          <w:sz w:val="18"/>
        </w:rPr>
        <w:t> </w:t>
      </w:r>
      <w:r>
        <w:rPr>
          <w:sz w:val="18"/>
        </w:rPr>
        <w:t>refiere</w:t>
      </w:r>
      <w:r>
        <w:rPr>
          <w:spacing w:val="9"/>
          <w:sz w:val="18"/>
        </w:rPr>
        <w:t> </w:t>
      </w:r>
      <w:r>
        <w:rPr>
          <w:sz w:val="18"/>
        </w:rPr>
        <w:t>a</w:t>
      </w:r>
      <w:r>
        <w:rPr>
          <w:spacing w:val="8"/>
          <w:sz w:val="18"/>
        </w:rPr>
        <w:t> </w:t>
      </w:r>
      <w:r>
        <w:rPr>
          <w:sz w:val="18"/>
        </w:rPr>
        <w:t>las</w:t>
      </w:r>
      <w:r>
        <w:rPr>
          <w:spacing w:val="9"/>
          <w:sz w:val="18"/>
        </w:rPr>
        <w:t> </w:t>
      </w:r>
      <w:r>
        <w:rPr>
          <w:sz w:val="18"/>
        </w:rPr>
        <w:t>columnas</w:t>
      </w:r>
      <w:r>
        <w:rPr>
          <w:spacing w:val="8"/>
          <w:sz w:val="18"/>
        </w:rPr>
        <w:t> </w:t>
      </w:r>
      <w:r>
        <w:rPr>
          <w:sz w:val="18"/>
        </w:rPr>
        <w:t>en</w:t>
      </w:r>
      <w:r>
        <w:rPr>
          <w:spacing w:val="9"/>
          <w:sz w:val="18"/>
        </w:rPr>
        <w:t> </w:t>
      </w:r>
      <w:r>
        <w:rPr>
          <w:sz w:val="18"/>
        </w:rPr>
        <w:t>las</w:t>
      </w:r>
      <w:r>
        <w:rPr>
          <w:spacing w:val="8"/>
          <w:sz w:val="18"/>
        </w:rPr>
        <w:t> </w:t>
      </w:r>
      <w:r>
        <w:rPr>
          <w:sz w:val="18"/>
        </w:rPr>
        <w:t>que</w:t>
      </w:r>
      <w:r>
        <w:rPr>
          <w:spacing w:val="8"/>
          <w:sz w:val="18"/>
        </w:rPr>
        <w:t> </w:t>
      </w:r>
      <w:r>
        <w:rPr>
          <w:sz w:val="18"/>
        </w:rPr>
        <w:t>se</w:t>
      </w:r>
      <w:r>
        <w:rPr>
          <w:spacing w:val="9"/>
          <w:sz w:val="18"/>
        </w:rPr>
        <w:t> </w:t>
      </w:r>
      <w:r>
        <w:rPr>
          <w:sz w:val="18"/>
        </w:rPr>
        <w:t>anotaran</w:t>
      </w:r>
      <w:r>
        <w:rPr>
          <w:spacing w:val="5"/>
          <w:sz w:val="18"/>
        </w:rPr>
        <w:t> </w:t>
      </w:r>
      <w:r>
        <w:rPr>
          <w:sz w:val="18"/>
        </w:rPr>
        <w:t>los</w:t>
      </w:r>
      <w:r>
        <w:rPr>
          <w:spacing w:val="9"/>
          <w:sz w:val="18"/>
        </w:rPr>
        <w:t> </w:t>
      </w:r>
      <w:r>
        <w:rPr>
          <w:sz w:val="18"/>
        </w:rPr>
        <w:t>importes</w:t>
      </w:r>
      <w:r>
        <w:rPr>
          <w:spacing w:val="8"/>
          <w:sz w:val="18"/>
        </w:rPr>
        <w:t> </w:t>
      </w:r>
      <w:r>
        <w:rPr>
          <w:sz w:val="18"/>
        </w:rPr>
        <w:t>devengados</w:t>
      </w:r>
      <w:r>
        <w:rPr>
          <w:spacing w:val="9"/>
          <w:sz w:val="18"/>
        </w:rPr>
        <w:t> </w:t>
      </w:r>
      <w:r>
        <w:rPr>
          <w:sz w:val="18"/>
        </w:rPr>
        <w:t>y</w:t>
      </w:r>
      <w:r>
        <w:rPr>
          <w:spacing w:val="6"/>
          <w:sz w:val="18"/>
        </w:rPr>
        <w:t> </w:t>
      </w:r>
      <w:r>
        <w:rPr>
          <w:sz w:val="18"/>
        </w:rPr>
        <w:t>pagados</w:t>
      </w:r>
      <w:r>
        <w:rPr>
          <w:spacing w:val="-47"/>
          <w:sz w:val="18"/>
        </w:rPr>
        <w:t> </w:t>
      </w:r>
      <w:r>
        <w:rPr>
          <w:sz w:val="18"/>
        </w:rPr>
        <w:t>al</w:t>
      </w:r>
      <w:r>
        <w:rPr>
          <w:spacing w:val="-1"/>
          <w:sz w:val="18"/>
        </w:rPr>
        <w:t> </w:t>
      </w:r>
      <w:r>
        <w:rPr>
          <w:sz w:val="18"/>
        </w:rPr>
        <w:t>período</w:t>
      </w:r>
      <w:r>
        <w:rPr>
          <w:spacing w:val="-2"/>
          <w:sz w:val="18"/>
        </w:rPr>
        <w:t> </w:t>
      </w:r>
      <w:r>
        <w:rPr>
          <w:sz w:val="18"/>
        </w:rPr>
        <w:t>que</w:t>
      </w:r>
      <w:r>
        <w:rPr>
          <w:spacing w:val="-2"/>
          <w:sz w:val="18"/>
        </w:rPr>
        <w:t> </w:t>
      </w: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informa.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7" w:lineRule="auto" w:before="48" w:after="0"/>
        <w:ind w:left="1219" w:right="137" w:hanging="360"/>
        <w:jc w:val="left"/>
        <w:rPr>
          <w:sz w:val="18"/>
        </w:rPr>
      </w:pPr>
      <w:r>
        <w:rPr>
          <w:sz w:val="18"/>
        </w:rPr>
        <w:t>Reintegro: recursos no utilizados que se tendrán que reintegrar a su correspondiente Tesorería o</w:t>
      </w:r>
      <w:r>
        <w:rPr>
          <w:spacing w:val="-47"/>
          <w:sz w:val="18"/>
        </w:rPr>
        <w:t> </w:t>
      </w:r>
      <w:r>
        <w:rPr>
          <w:sz w:val="18"/>
        </w:rPr>
        <w:t>a</w:t>
      </w:r>
      <w:r>
        <w:rPr>
          <w:spacing w:val="-1"/>
          <w:sz w:val="18"/>
        </w:rPr>
        <w:t> </w:t>
      </w:r>
      <w:r>
        <w:rPr>
          <w:sz w:val="18"/>
        </w:rPr>
        <w:t>la Tesorería</w:t>
      </w:r>
      <w:r>
        <w:rPr>
          <w:spacing w:val="-2"/>
          <w:sz w:val="18"/>
        </w:rPr>
        <w:t> </w:t>
      </w:r>
      <w:r>
        <w:rPr>
          <w:sz w:val="18"/>
        </w:rPr>
        <w:t>de la Federación.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45" w:after="0"/>
        <w:ind w:left="1219" w:right="0" w:hanging="361"/>
        <w:jc w:val="left"/>
        <w:rPr>
          <w:sz w:val="18"/>
        </w:rPr>
      </w:pPr>
      <w:r>
        <w:rPr>
          <w:sz w:val="18"/>
        </w:rPr>
        <w:t>Periodicidad: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forma</w:t>
      </w:r>
      <w:r>
        <w:rPr>
          <w:spacing w:val="-2"/>
          <w:sz w:val="18"/>
        </w:rPr>
        <w:t> </w:t>
      </w:r>
      <w:r>
        <w:rPr>
          <w:sz w:val="18"/>
        </w:rPr>
        <w:t>trimestral</w:t>
      </w:r>
      <w:r>
        <w:rPr>
          <w:spacing w:val="-2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anual.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7" w:lineRule="auto" w:before="54" w:after="43"/>
        <w:ind w:left="859" w:right="145" w:hanging="432"/>
        <w:jc w:val="left"/>
        <w:rPr>
          <w:sz w:val="18"/>
        </w:rPr>
      </w:pPr>
      <w:r>
        <w:rPr>
          <w:sz w:val="18"/>
        </w:rPr>
        <w:t>Para</w:t>
      </w:r>
      <w:r>
        <w:rPr>
          <w:spacing w:val="3"/>
          <w:sz w:val="18"/>
        </w:rPr>
        <w:t> </w:t>
      </w:r>
      <w:r>
        <w:rPr>
          <w:sz w:val="18"/>
        </w:rPr>
        <w:t>la</w:t>
      </w:r>
      <w:r>
        <w:rPr>
          <w:spacing w:val="3"/>
          <w:sz w:val="18"/>
        </w:rPr>
        <w:t> </w:t>
      </w:r>
      <w:r>
        <w:rPr>
          <w:sz w:val="18"/>
        </w:rPr>
        <w:t>estructura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3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información</w:t>
      </w:r>
      <w:r>
        <w:rPr>
          <w:spacing w:val="4"/>
          <w:sz w:val="18"/>
        </w:rPr>
        <w:t> </w:t>
      </w:r>
      <w:r>
        <w:rPr>
          <w:sz w:val="18"/>
        </w:rPr>
        <w:t>relativa</w:t>
      </w:r>
      <w:r>
        <w:rPr>
          <w:spacing w:val="3"/>
          <w:sz w:val="18"/>
        </w:rPr>
        <w:t> </w:t>
      </w:r>
      <w:r>
        <w:rPr>
          <w:sz w:val="18"/>
        </w:rPr>
        <w:t>al</w:t>
      </w:r>
      <w:r>
        <w:rPr>
          <w:spacing w:val="3"/>
          <w:sz w:val="18"/>
        </w:rPr>
        <w:t> </w:t>
      </w:r>
      <w:r>
        <w:rPr>
          <w:sz w:val="18"/>
        </w:rPr>
        <w:t>ejercicio</w:t>
      </w:r>
      <w:r>
        <w:rPr>
          <w:spacing w:val="3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destino</w:t>
      </w:r>
      <w:r>
        <w:rPr>
          <w:spacing w:val="4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gasto</w:t>
      </w:r>
      <w:r>
        <w:rPr>
          <w:spacing w:val="3"/>
          <w:sz w:val="18"/>
        </w:rPr>
        <w:t> </w:t>
      </w:r>
      <w:r>
        <w:rPr>
          <w:sz w:val="18"/>
        </w:rPr>
        <w:t>federalizado,</w:t>
      </w:r>
      <w:r>
        <w:rPr>
          <w:spacing w:val="3"/>
          <w:sz w:val="18"/>
        </w:rPr>
        <w:t> </w:t>
      </w:r>
      <w:r>
        <w:rPr>
          <w:sz w:val="18"/>
        </w:rPr>
        <w:t>así</w:t>
      </w:r>
      <w:r>
        <w:rPr>
          <w:spacing w:val="3"/>
          <w:sz w:val="18"/>
        </w:rPr>
        <w:t> </w:t>
      </w:r>
      <w:r>
        <w:rPr>
          <w:sz w:val="18"/>
        </w:rPr>
        <w:t>como</w:t>
      </w:r>
      <w:r>
        <w:rPr>
          <w:spacing w:val="4"/>
          <w:sz w:val="18"/>
        </w:rPr>
        <w:t> </w:t>
      </w:r>
      <w:r>
        <w:rPr>
          <w:sz w:val="18"/>
        </w:rPr>
        <w:t>de</w:t>
      </w:r>
      <w:r>
        <w:rPr>
          <w:spacing w:val="-48"/>
          <w:sz w:val="18"/>
        </w:rPr>
        <w:t> </w:t>
      </w:r>
      <w:r>
        <w:rPr>
          <w:sz w:val="18"/>
        </w:rPr>
        <w:t>reintegros</w:t>
      </w:r>
      <w:r>
        <w:rPr>
          <w:spacing w:val="-3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su</w:t>
      </w:r>
      <w:r>
        <w:rPr>
          <w:spacing w:val="-3"/>
          <w:sz w:val="18"/>
        </w:rPr>
        <w:t> </w:t>
      </w:r>
      <w:r>
        <w:rPr>
          <w:sz w:val="18"/>
        </w:rPr>
        <w:t>presentación,</w:t>
      </w:r>
      <w:r>
        <w:rPr>
          <w:spacing w:val="-1"/>
          <w:sz w:val="18"/>
        </w:rPr>
        <w:t> </w:t>
      </w:r>
      <w:r>
        <w:rPr>
          <w:sz w:val="18"/>
        </w:rPr>
        <w:t>los</w:t>
      </w:r>
      <w:r>
        <w:rPr>
          <w:spacing w:val="4"/>
          <w:sz w:val="18"/>
        </w:rPr>
        <w:t> </w:t>
      </w:r>
      <w:r>
        <w:rPr>
          <w:sz w:val="18"/>
        </w:rPr>
        <w:t>entes</w:t>
      </w:r>
      <w:r>
        <w:rPr>
          <w:spacing w:val="-3"/>
          <w:sz w:val="18"/>
        </w:rPr>
        <w:t> </w:t>
      </w:r>
      <w:r>
        <w:rPr>
          <w:sz w:val="18"/>
        </w:rPr>
        <w:t>obligados</w:t>
      </w:r>
      <w:r>
        <w:rPr>
          <w:spacing w:val="-3"/>
          <w:sz w:val="18"/>
        </w:rPr>
        <w:t> </w:t>
      </w:r>
      <w:r>
        <w:rPr>
          <w:sz w:val="18"/>
        </w:rPr>
        <w:t>deberán</w:t>
      </w:r>
      <w:r>
        <w:rPr>
          <w:spacing w:val="-3"/>
          <w:sz w:val="18"/>
        </w:rPr>
        <w:t> </w:t>
      </w:r>
      <w:r>
        <w:rPr>
          <w:sz w:val="18"/>
        </w:rPr>
        <w:t>observar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formato</w:t>
      </w:r>
      <w:r>
        <w:rPr>
          <w:spacing w:val="-1"/>
          <w:sz w:val="18"/>
        </w:rPr>
        <w:t> </w:t>
      </w:r>
      <w:r>
        <w:rPr>
          <w:sz w:val="18"/>
        </w:rPr>
        <w:t>siguiente:</w:t>
      </w:r>
    </w:p>
    <w:tbl>
      <w:tblPr>
        <w:tblW w:w="0" w:type="auto"/>
        <w:jc w:val="left"/>
        <w:tblInd w:w="2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8"/>
        <w:gridCol w:w="3143"/>
        <w:gridCol w:w="1318"/>
        <w:gridCol w:w="1112"/>
        <w:gridCol w:w="1295"/>
      </w:tblGrid>
      <w:tr>
        <w:trPr>
          <w:trHeight w:val="774" w:hRule="atLeast"/>
        </w:trPr>
        <w:tc>
          <w:tcPr>
            <w:tcW w:w="7421" w:type="dxa"/>
            <w:gridSpan w:val="4"/>
          </w:tcPr>
          <w:p>
            <w:pPr>
              <w:pStyle w:val="TableParagraph"/>
              <w:spacing w:before="22"/>
              <w:ind w:left="1394" w:right="1382"/>
              <w:jc w:val="center"/>
              <w:rPr>
                <w:sz w:val="16"/>
              </w:rPr>
            </w:pPr>
            <w:r>
              <w:rPr>
                <w:sz w:val="16"/>
              </w:rPr>
              <w:t>Entidad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Federativa/Municipio</w:t>
            </w:r>
          </w:p>
          <w:p>
            <w:pPr>
              <w:pStyle w:val="TableParagraph"/>
              <w:spacing w:line="260" w:lineRule="exact" w:before="15"/>
              <w:ind w:left="1394" w:right="1386"/>
              <w:jc w:val="center"/>
              <w:rPr>
                <w:sz w:val="16"/>
              </w:rPr>
            </w:pPr>
            <w:r>
              <w:rPr>
                <w:sz w:val="16"/>
              </w:rPr>
              <w:t>Formato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destino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gasto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federalizado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reintegros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Al período (trimestral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 anual)</w:t>
            </w:r>
          </w:p>
        </w:tc>
        <w:tc>
          <w:tcPr>
            <w:tcW w:w="12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8" w:hRule="atLeast"/>
        </w:trPr>
        <w:tc>
          <w:tcPr>
            <w:tcW w:w="1848" w:type="dxa"/>
          </w:tcPr>
          <w:p>
            <w:pPr>
              <w:pStyle w:val="TableParagraph"/>
              <w:spacing w:before="20"/>
              <w:ind w:left="256"/>
              <w:rPr>
                <w:sz w:val="16"/>
              </w:rPr>
            </w:pPr>
            <w:r>
              <w:rPr>
                <w:sz w:val="16"/>
              </w:rPr>
              <w:t>Programa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 Fondo</w:t>
            </w:r>
          </w:p>
        </w:tc>
        <w:tc>
          <w:tcPr>
            <w:tcW w:w="3143" w:type="dxa"/>
          </w:tcPr>
          <w:p>
            <w:pPr>
              <w:pStyle w:val="TableParagraph"/>
              <w:spacing w:before="20"/>
              <w:ind w:left="703"/>
              <w:rPr>
                <w:sz w:val="16"/>
              </w:rPr>
            </w:pPr>
            <w:r>
              <w:rPr>
                <w:sz w:val="16"/>
              </w:rPr>
              <w:t>Destino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los Recursos</w:t>
            </w:r>
          </w:p>
        </w:tc>
        <w:tc>
          <w:tcPr>
            <w:tcW w:w="2430" w:type="dxa"/>
            <w:gridSpan w:val="2"/>
          </w:tcPr>
          <w:p>
            <w:pPr>
              <w:pStyle w:val="TableParagraph"/>
              <w:spacing w:before="20"/>
              <w:ind w:left="889" w:right="880"/>
              <w:jc w:val="center"/>
              <w:rPr>
                <w:sz w:val="16"/>
              </w:rPr>
            </w:pPr>
            <w:r>
              <w:rPr>
                <w:sz w:val="16"/>
              </w:rPr>
              <w:t>Ejercicio</w:t>
            </w:r>
          </w:p>
        </w:tc>
        <w:tc>
          <w:tcPr>
            <w:tcW w:w="1295" w:type="dxa"/>
          </w:tcPr>
          <w:p>
            <w:pPr>
              <w:pStyle w:val="TableParagraph"/>
              <w:spacing w:before="20"/>
              <w:ind w:left="298"/>
              <w:rPr>
                <w:sz w:val="16"/>
              </w:rPr>
            </w:pPr>
            <w:r>
              <w:rPr>
                <w:sz w:val="16"/>
              </w:rPr>
              <w:t>Reintegro</w:t>
            </w:r>
          </w:p>
        </w:tc>
      </w:tr>
      <w:tr>
        <w:trPr>
          <w:trHeight w:val="258" w:hRule="atLeast"/>
        </w:trPr>
        <w:tc>
          <w:tcPr>
            <w:tcW w:w="184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8" w:type="dxa"/>
          </w:tcPr>
          <w:p>
            <w:pPr>
              <w:pStyle w:val="TableParagraph"/>
              <w:spacing w:before="20"/>
              <w:ind w:left="145"/>
              <w:rPr>
                <w:sz w:val="16"/>
              </w:rPr>
            </w:pPr>
            <w:r>
              <w:rPr>
                <w:sz w:val="16"/>
              </w:rPr>
              <w:t>DEVENGADO</w:t>
            </w:r>
          </w:p>
        </w:tc>
        <w:tc>
          <w:tcPr>
            <w:tcW w:w="1112" w:type="dxa"/>
          </w:tcPr>
          <w:p>
            <w:pPr>
              <w:pStyle w:val="TableParagraph"/>
              <w:spacing w:before="20"/>
              <w:ind w:left="210"/>
              <w:rPr>
                <w:sz w:val="16"/>
              </w:rPr>
            </w:pPr>
            <w:r>
              <w:rPr>
                <w:sz w:val="16"/>
              </w:rPr>
              <w:t>PAGADO</w:t>
            </w:r>
          </w:p>
        </w:tc>
        <w:tc>
          <w:tcPr>
            <w:tcW w:w="12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6" w:hRule="atLeast"/>
        </w:trPr>
        <w:tc>
          <w:tcPr>
            <w:tcW w:w="184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8" w:hRule="atLeast"/>
        </w:trPr>
        <w:tc>
          <w:tcPr>
            <w:tcW w:w="184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8" w:hRule="atLeast"/>
        </w:trPr>
        <w:tc>
          <w:tcPr>
            <w:tcW w:w="184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4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1"/>
        <w:ind w:left="0" w:firstLine="0"/>
        <w:rPr>
          <w:sz w:val="19"/>
        </w:rPr>
      </w:pPr>
    </w:p>
    <w:p>
      <w:pPr>
        <w:pStyle w:val="BodyText"/>
        <w:spacing w:line="249" w:lineRule="auto"/>
        <w:ind w:left="139" w:right="131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</w:t>
      </w:r>
      <w:r>
        <w:rPr>
          <w:spacing w:val="50"/>
        </w:rPr>
        <w:t> </w:t>
      </w:r>
      <w:r>
        <w:rPr/>
        <w:t>de la Secretaría de Hacienda 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1 foja útil, rubricada y cotejada, denominado</w:t>
      </w:r>
      <w:r>
        <w:rPr>
          <w:spacing w:val="1"/>
        </w:rPr>
        <w:t> </w:t>
      </w:r>
      <w:r>
        <w:rPr/>
        <w:t>Normas para establecer la estructura de información del formato del ejercicio y destino de gasto federalizado y</w:t>
      </w:r>
      <w:r>
        <w:rPr>
          <w:spacing w:val="-47"/>
        </w:rPr>
        <w:t> </w:t>
      </w:r>
      <w:r>
        <w:rPr/>
        <w:t>reintegros, corresponde con el texto aprobado por el Consejo Nacional de Armonización Contable, mismo que</w:t>
      </w:r>
      <w:r>
        <w:rPr>
          <w:spacing w:val="1"/>
        </w:rPr>
        <w:t> </w:t>
      </w:r>
      <w:r>
        <w:rPr/>
        <w:t>estuvo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integrantes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reunión</w:t>
      </w:r>
      <w:r>
        <w:rPr>
          <w:spacing w:val="1"/>
        </w:rPr>
        <w:t> </w:t>
      </w:r>
      <w:r>
        <w:rPr/>
        <w:t>celebrada,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segunda</w:t>
      </w:r>
      <w:r>
        <w:rPr>
          <w:spacing w:val="1"/>
        </w:rPr>
        <w:t> </w:t>
      </w:r>
      <w:r>
        <w:rPr/>
        <w:t>convocatoria,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año,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certifica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conducentes.- El Secretario Técnico del Consejo Nacional de Armonización Contable, </w:t>
      </w:r>
      <w:r>
        <w:rPr>
          <w:rFonts w:ascii="Arial" w:hAnsi="Arial"/>
          <w:b/>
        </w:rPr>
        <w:t>Juan Manuel Alcocer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Gamba</w:t>
      </w:r>
      <w:r>
        <w:rPr/>
        <w:t>.-</w:t>
      </w:r>
      <w:r>
        <w:rPr>
          <w:spacing w:val="-1"/>
        </w:rPr>
        <w:t> </w:t>
      </w:r>
      <w:r>
        <w:rPr/>
        <w:t>Rúbrica.</w:t>
      </w:r>
    </w:p>
    <w:sectPr>
      <w:type w:val="continuous"/>
      <w:pgSz w:w="12240" w:h="15840"/>
      <w:pgMar w:top="120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219" w:hanging="36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97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75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53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31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0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8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64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859" w:hanging="432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41"/>
      <w:ind w:left="42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54"/>
      <w:ind w:left="859" w:hanging="432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2022-02-01T21:46:20Z</dcterms:created>
  <dcterms:modified xsi:type="dcterms:W3CDTF">2022-02-01T21:46:20Z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2022-02-01T00:00:00Z</vt:filetime>
  </property>
</Properties>
</file>