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 w:after="19"/>
        <w:ind w:left="139" w:right="2"/>
        <w:rPr>
          <w:rFonts w:ascii="Times New Roman" w:hAnsi="Times New Roman"/>
        </w:rPr>
      </w:pPr>
      <w:r>
        <w:rPr>
          <w:rFonts w:ascii="Times New Roman" w:hAnsi="Times New Roman"/>
        </w:rPr>
        <w:t>NORMA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para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establecer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estructura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información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relación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las</w:t>
      </w:r>
      <w:r>
        <w:rPr>
          <w:rFonts w:ascii="Times New Roman" w:hAnsi="Times New Roman"/>
          <w:spacing w:val="6"/>
        </w:rPr>
        <w:t> </w:t>
      </w:r>
      <w:r>
        <w:rPr>
          <w:rFonts w:ascii="Times New Roman" w:hAnsi="Times New Roman"/>
        </w:rPr>
        <w:t>cuentas</w:t>
      </w:r>
      <w:r>
        <w:rPr>
          <w:rFonts w:ascii="Times New Roman" w:hAnsi="Times New Roman"/>
          <w:spacing w:val="9"/>
        </w:rPr>
        <w:t> </w:t>
      </w:r>
      <w:r>
        <w:rPr>
          <w:rFonts w:ascii="Times New Roman" w:hAnsi="Times New Roman"/>
        </w:rPr>
        <w:t>bancarias</w:t>
      </w:r>
      <w:r>
        <w:rPr>
          <w:rFonts w:ascii="Times New Roman" w:hAnsi="Times New Roman"/>
          <w:spacing w:val="9"/>
        </w:rPr>
        <w:t> </w:t>
      </w:r>
      <w:r>
        <w:rPr>
          <w:rFonts w:ascii="Times New Roman" w:hAnsi="Times New Roman"/>
        </w:rPr>
        <w:t>productivas</w:t>
      </w:r>
      <w:r>
        <w:rPr>
          <w:rFonts w:ascii="Times New Roman" w:hAnsi="Times New Roman"/>
          <w:spacing w:val="-42"/>
        </w:rPr>
        <w:t> </w:t>
      </w:r>
      <w:r>
        <w:rPr>
          <w:rFonts w:ascii="Times New Roman" w:hAnsi="Times New Roman"/>
        </w:rPr>
        <w:t>específicas que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se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presentan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cuenta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pública,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4"/>
        </w:rPr>
        <w:t> </w:t>
      </w:r>
      <w:r>
        <w:rPr>
          <w:rFonts w:ascii="Times New Roman" w:hAnsi="Times New Roman"/>
        </w:rPr>
        <w:t>las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cuales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se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depositen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los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recursos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federales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transferidos.</w:t>
      </w:r>
    </w:p>
    <w:p>
      <w:pPr>
        <w:pStyle w:val="BodyText"/>
        <w:spacing w:line="28" w:lineRule="exact" w:before="0"/>
        <w:ind w:left="110" w:firstLine="0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spacing w:before="9"/>
        <w:ind w:left="0" w:firstLine="0"/>
        <w:rPr>
          <w:rFonts w:ascii="Times New Roman"/>
          <w:b/>
          <w:sz w:val="19"/>
        </w:rPr>
      </w:pPr>
    </w:p>
    <w:p>
      <w:pPr>
        <w:pStyle w:val="BodyText"/>
        <w:spacing w:line="249" w:lineRule="auto" w:before="94"/>
        <w:ind w:left="139" w:right="133" w:firstLine="288"/>
        <w:jc w:val="both"/>
      </w:pPr>
      <w:r>
        <w:rPr/>
        <w:t>Con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9,</w:t>
      </w:r>
      <w:r>
        <w:rPr>
          <w:spacing w:val="1"/>
        </w:rPr>
        <w:t> </w:t>
      </w:r>
      <w:r>
        <w:rPr/>
        <w:t>fracciones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IX,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69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Cuarto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 Gubernamental, para transparentar y armonizar la información financiera relativa a la aplicación</w:t>
      </w:r>
      <w:r>
        <w:rPr>
          <w:spacing w:val="1"/>
        </w:rPr>
        <w:t> </w:t>
      </w:r>
      <w:r>
        <w:rPr/>
        <w:t>de recursos públicos en los distintos órdenes de gobierno publicado en el Diario Oficial de la Federación el 12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 de</w:t>
      </w:r>
      <w:r>
        <w:rPr>
          <w:spacing w:val="-2"/>
        </w:rPr>
        <w:t> </w:t>
      </w:r>
      <w:r>
        <w:rPr/>
        <w:t>2012 se emite la:</w:t>
      </w:r>
    </w:p>
    <w:p>
      <w:pPr>
        <w:pStyle w:val="Heading1"/>
        <w:spacing w:line="249" w:lineRule="auto" w:before="105"/>
        <w:ind w:left="521" w:right="517" w:hanging="9"/>
        <w:jc w:val="center"/>
      </w:pPr>
      <w:r>
        <w:rPr/>
        <w:t>Norma para establecer la estructura de información de la relación de las cuentas bancarias</w:t>
      </w:r>
      <w:r>
        <w:rPr>
          <w:spacing w:val="1"/>
        </w:rPr>
        <w:t> </w:t>
      </w:r>
      <w:r>
        <w:rPr/>
        <w:t>productivas específicas que se presentan en la cuenta pública, en las cuales se depositen</w:t>
      </w:r>
      <w:r>
        <w:rPr>
          <w:spacing w:val="1"/>
        </w:rPr>
        <w:t> </w:t>
      </w:r>
      <w:r>
        <w:rPr/>
        <w:t>los</w:t>
      </w:r>
      <w:r>
        <w:rPr>
          <w:spacing w:val="-47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federales transferidos.</w:t>
      </w:r>
    </w:p>
    <w:p>
      <w:pPr>
        <w:spacing w:before="83"/>
        <w:ind w:left="42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89" w:after="0"/>
        <w:ind w:left="859" w:right="135" w:hanging="432"/>
        <w:jc w:val="both"/>
        <w:rPr>
          <w:sz w:val="18"/>
        </w:rPr>
      </w:pPr>
      <w:r>
        <w:rPr>
          <w:sz w:val="18"/>
        </w:rPr>
        <w:t>Establecer la estructura del formato que los entes obligados deben observar para informar la relación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 cuentas bancarias</w:t>
      </w:r>
      <w:r>
        <w:rPr>
          <w:spacing w:val="1"/>
          <w:sz w:val="18"/>
        </w:rPr>
        <w:t> </w:t>
      </w:r>
      <w:r>
        <w:rPr>
          <w:sz w:val="18"/>
        </w:rPr>
        <w:t>productivas</w:t>
      </w:r>
      <w:r>
        <w:rPr>
          <w:spacing w:val="1"/>
          <w:sz w:val="18"/>
        </w:rPr>
        <w:t> </w:t>
      </w:r>
      <w:r>
        <w:rPr>
          <w:sz w:val="18"/>
        </w:rPr>
        <w:t>específicas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se presentan en la cuenta</w:t>
      </w:r>
      <w:r>
        <w:rPr>
          <w:spacing w:val="1"/>
          <w:sz w:val="18"/>
        </w:rPr>
        <w:t> </w:t>
      </w:r>
      <w:r>
        <w:rPr>
          <w:sz w:val="18"/>
        </w:rPr>
        <w:t>pública, en</w:t>
      </w:r>
      <w:r>
        <w:rPr>
          <w:spacing w:val="50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cuales se depositan y ministran los recursos federales transferidos por cualquier concepto durante el</w:t>
      </w:r>
      <w:r>
        <w:rPr>
          <w:spacing w:val="1"/>
          <w:sz w:val="18"/>
        </w:rPr>
        <w:t> </w:t>
      </w:r>
      <w:r>
        <w:rPr>
          <w:sz w:val="18"/>
        </w:rPr>
        <w:t>ejercicio fiscal correspondiente para que la información financiera que generen y publiquen sea con</w:t>
      </w:r>
      <w:r>
        <w:rPr>
          <w:spacing w:val="1"/>
          <w:sz w:val="18"/>
        </w:rPr>
        <w:t> </w:t>
      </w:r>
      <w:r>
        <w:rPr>
          <w:sz w:val="18"/>
        </w:rPr>
        <w:t>base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-2"/>
          <w:sz w:val="18"/>
        </w:rPr>
        <w:t> </w:t>
      </w:r>
      <w:r>
        <w:rPr>
          <w:sz w:val="18"/>
        </w:rPr>
        <w:t>estructuras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formatos</w:t>
      </w:r>
      <w:r>
        <w:rPr>
          <w:spacing w:val="1"/>
          <w:sz w:val="18"/>
        </w:rPr>
        <w:t> </w:t>
      </w:r>
      <w:r>
        <w:rPr>
          <w:sz w:val="18"/>
        </w:rPr>
        <w:t>armonizados.</w:t>
      </w:r>
    </w:p>
    <w:p>
      <w:pPr>
        <w:pStyle w:val="Heading1"/>
      </w:pPr>
      <w:r>
        <w:rPr/>
        <w:t>Ambito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91" w:after="0"/>
        <w:ind w:left="859" w:right="145" w:hanging="432"/>
        <w:jc w:val="both"/>
        <w:rPr>
          <w:sz w:val="18"/>
        </w:rPr>
      </w:pPr>
      <w:r>
        <w:rPr>
          <w:sz w:val="18"/>
        </w:rPr>
        <w:t>Las presentes disposiciones serán de observancia obligatoria para los gobiernos de las entidades</w:t>
      </w:r>
      <w:r>
        <w:rPr>
          <w:spacing w:val="1"/>
          <w:sz w:val="18"/>
        </w:rPr>
        <w:t> </w:t>
      </w:r>
      <w:r>
        <w:rPr>
          <w:sz w:val="18"/>
        </w:rPr>
        <w:t>federativas,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municipios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demarcaciones</w:t>
      </w:r>
      <w:r>
        <w:rPr>
          <w:spacing w:val="1"/>
          <w:sz w:val="18"/>
        </w:rPr>
        <w:t> </w:t>
      </w:r>
      <w:r>
        <w:rPr>
          <w:sz w:val="18"/>
        </w:rPr>
        <w:t>territoriales</w:t>
      </w:r>
      <w:r>
        <w:rPr>
          <w:spacing w:val="-2"/>
          <w:sz w:val="18"/>
        </w:rPr>
        <w:t> </w:t>
      </w:r>
      <w:r>
        <w:rPr>
          <w:sz w:val="18"/>
        </w:rPr>
        <w:t>del Distrito</w:t>
      </w:r>
      <w:r>
        <w:rPr>
          <w:spacing w:val="5"/>
          <w:sz w:val="18"/>
        </w:rPr>
        <w:t> </w:t>
      </w:r>
      <w:r>
        <w:rPr>
          <w:sz w:val="18"/>
        </w:rPr>
        <w:t>Federal.</w:t>
      </w:r>
    </w:p>
    <w:p>
      <w:pPr>
        <w:pStyle w:val="Heading1"/>
        <w:spacing w:before="80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89" w:after="0"/>
        <w:ind w:left="859" w:right="140" w:hanging="432"/>
        <w:jc w:val="both"/>
        <w:rPr>
          <w:sz w:val="18"/>
        </w:rPr>
      </w:pPr>
      <w:r>
        <w:rPr>
          <w:sz w:val="18"/>
        </w:rPr>
        <w:t>En apego al artículo 69 de la Ley General de Contabilidad Gubernamental, para la presentación de la</w:t>
      </w:r>
      <w:r>
        <w:rPr>
          <w:spacing w:val="-47"/>
          <w:sz w:val="18"/>
        </w:rPr>
        <w:t> </w:t>
      </w:r>
      <w:r>
        <w:rPr>
          <w:sz w:val="18"/>
        </w:rPr>
        <w:t>información financiera y la cuenta pública los entes obligados incluirán la relación de las cuentas</w:t>
      </w:r>
      <w:r>
        <w:rPr>
          <w:spacing w:val="1"/>
          <w:sz w:val="18"/>
        </w:rPr>
        <w:t> </w:t>
      </w:r>
      <w:r>
        <w:rPr>
          <w:sz w:val="18"/>
        </w:rPr>
        <w:t>bancarias productivas específicas, en las cuales se depositaron los recursos federales transferidos,</w:t>
      </w:r>
      <w:r>
        <w:rPr>
          <w:spacing w:val="1"/>
          <w:sz w:val="18"/>
        </w:rPr>
        <w:t> </w:t>
      </w:r>
      <w:r>
        <w:rPr>
          <w:sz w:val="18"/>
        </w:rPr>
        <w:t>por</w:t>
      </w:r>
      <w:r>
        <w:rPr>
          <w:spacing w:val="-1"/>
          <w:sz w:val="18"/>
        </w:rPr>
        <w:t> </w:t>
      </w:r>
      <w:r>
        <w:rPr>
          <w:sz w:val="18"/>
        </w:rPr>
        <w:t>cualquier</w:t>
      </w:r>
      <w:r>
        <w:rPr>
          <w:spacing w:val="-3"/>
          <w:sz w:val="18"/>
        </w:rPr>
        <w:t> </w:t>
      </w:r>
      <w:r>
        <w:rPr>
          <w:sz w:val="18"/>
        </w:rPr>
        <w:t>concepto,</w:t>
      </w:r>
      <w:r>
        <w:rPr>
          <w:spacing w:val="-3"/>
          <w:sz w:val="18"/>
        </w:rPr>
        <w:t> </w:t>
      </w:r>
      <w:r>
        <w:rPr>
          <w:sz w:val="18"/>
        </w:rPr>
        <w:t>durante el</w:t>
      </w:r>
      <w:r>
        <w:rPr>
          <w:spacing w:val="-2"/>
          <w:sz w:val="18"/>
        </w:rPr>
        <w:t> </w:t>
      </w:r>
      <w:r>
        <w:rPr>
          <w:sz w:val="18"/>
        </w:rPr>
        <w:t>ejercicio</w:t>
      </w:r>
      <w:r>
        <w:rPr>
          <w:spacing w:val="-1"/>
          <w:sz w:val="18"/>
        </w:rPr>
        <w:t> </w:t>
      </w:r>
      <w:r>
        <w:rPr>
          <w:sz w:val="18"/>
        </w:rPr>
        <w:t>fiscal</w:t>
      </w:r>
      <w:r>
        <w:rPr>
          <w:spacing w:val="-2"/>
          <w:sz w:val="18"/>
        </w:rPr>
        <w:t> </w:t>
      </w:r>
      <w:r>
        <w:rPr>
          <w:sz w:val="18"/>
        </w:rPr>
        <w:t>correspondiente.</w:t>
      </w:r>
    </w:p>
    <w:p>
      <w:pPr>
        <w:pStyle w:val="Heading1"/>
        <w:spacing w:before="84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</w:tabs>
        <w:spacing w:line="249" w:lineRule="auto" w:before="88" w:after="0"/>
        <w:ind w:left="859" w:right="144" w:hanging="432"/>
        <w:jc w:val="both"/>
        <w:rPr>
          <w:sz w:val="18"/>
        </w:rPr>
      </w:pPr>
      <w:r>
        <w:rPr>
          <w:sz w:val="18"/>
        </w:rPr>
        <w:t>Esquema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integración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información</w:t>
      </w:r>
      <w:r>
        <w:rPr>
          <w:spacing w:val="1"/>
          <w:sz w:val="18"/>
        </w:rPr>
        <w:t> </w:t>
      </w:r>
      <w:r>
        <w:rPr>
          <w:sz w:val="18"/>
        </w:rPr>
        <w:t>relativa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cuentas</w:t>
      </w:r>
      <w:r>
        <w:rPr>
          <w:spacing w:val="1"/>
          <w:sz w:val="18"/>
        </w:rPr>
        <w:t> </w:t>
      </w:r>
      <w:r>
        <w:rPr>
          <w:sz w:val="18"/>
        </w:rPr>
        <w:t>bancarias</w:t>
      </w:r>
      <w:r>
        <w:rPr>
          <w:spacing w:val="1"/>
          <w:sz w:val="18"/>
        </w:rPr>
        <w:t> </w:t>
      </w:r>
      <w:r>
        <w:rPr>
          <w:sz w:val="18"/>
        </w:rPr>
        <w:t>productivas</w:t>
      </w:r>
      <w:r>
        <w:rPr>
          <w:spacing w:val="1"/>
          <w:sz w:val="18"/>
        </w:rPr>
        <w:t> </w:t>
      </w:r>
      <w:r>
        <w:rPr>
          <w:sz w:val="18"/>
        </w:rPr>
        <w:t>específicas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depositan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ministran</w:t>
      </w:r>
      <w:r>
        <w:rPr>
          <w:spacing w:val="1"/>
          <w:sz w:val="18"/>
        </w:rPr>
        <w:t> </w:t>
      </w:r>
      <w:r>
        <w:rPr>
          <w:sz w:val="18"/>
        </w:rPr>
        <w:t>recursos</w:t>
      </w:r>
      <w:r>
        <w:rPr>
          <w:spacing w:val="1"/>
          <w:sz w:val="18"/>
        </w:rPr>
        <w:t> </w:t>
      </w:r>
      <w:r>
        <w:rPr>
          <w:sz w:val="18"/>
        </w:rPr>
        <w:t>federales,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formato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integra</w:t>
      </w:r>
      <w:r>
        <w:rPr>
          <w:spacing w:val="1"/>
          <w:sz w:val="18"/>
        </w:rPr>
        <w:t> </w:t>
      </w:r>
      <w:r>
        <w:rPr>
          <w:sz w:val="18"/>
        </w:rPr>
        <w:t>principalmente</w:t>
      </w:r>
      <w:r>
        <w:rPr>
          <w:spacing w:val="-3"/>
          <w:sz w:val="18"/>
        </w:rPr>
        <w:t> </w:t>
      </w:r>
      <w:r>
        <w:rPr>
          <w:sz w:val="18"/>
        </w:rPr>
        <w:t>por: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0" w:lineRule="auto" w:before="82" w:after="0"/>
        <w:ind w:left="1219" w:right="0" w:hanging="361"/>
        <w:jc w:val="left"/>
        <w:rPr>
          <w:sz w:val="18"/>
        </w:rPr>
      </w:pPr>
      <w:r>
        <w:rPr>
          <w:sz w:val="18"/>
        </w:rPr>
        <w:t>Fondo,</w:t>
      </w:r>
      <w:r>
        <w:rPr>
          <w:spacing w:val="-4"/>
          <w:sz w:val="18"/>
        </w:rPr>
        <w:t> </w:t>
      </w:r>
      <w:r>
        <w:rPr>
          <w:sz w:val="18"/>
        </w:rPr>
        <w:t>Programa</w:t>
      </w:r>
      <w:r>
        <w:rPr>
          <w:spacing w:val="-4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Convenio:</w:t>
      </w:r>
      <w:r>
        <w:rPr>
          <w:spacing w:val="-4"/>
          <w:sz w:val="18"/>
        </w:rPr>
        <w:t> </w:t>
      </w:r>
      <w:r>
        <w:rPr>
          <w:sz w:val="18"/>
        </w:rPr>
        <w:t>detalle</w:t>
      </w:r>
      <w:r>
        <w:rPr>
          <w:spacing w:val="-3"/>
          <w:sz w:val="18"/>
        </w:rPr>
        <w:t> </w:t>
      </w:r>
      <w:r>
        <w:rPr>
          <w:sz w:val="18"/>
        </w:rPr>
        <w:t>del</w:t>
      </w:r>
      <w:r>
        <w:rPr>
          <w:spacing w:val="-4"/>
          <w:sz w:val="18"/>
        </w:rPr>
        <w:t> </w:t>
      </w:r>
      <w:r>
        <w:rPr>
          <w:sz w:val="18"/>
        </w:rPr>
        <w:t>Fondo</w:t>
      </w:r>
      <w:r>
        <w:rPr>
          <w:spacing w:val="-2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Programa</w:t>
      </w:r>
      <w:r>
        <w:rPr>
          <w:spacing w:val="-4"/>
          <w:sz w:val="18"/>
        </w:rPr>
        <w:t> </w:t>
      </w:r>
      <w:r>
        <w:rPr>
          <w:sz w:val="18"/>
        </w:rPr>
        <w:t>(clave</w:t>
      </w:r>
      <w:r>
        <w:rPr>
          <w:spacing w:val="-2"/>
          <w:sz w:val="18"/>
        </w:rPr>
        <w:t> </w:t>
      </w:r>
      <w:r>
        <w:rPr>
          <w:sz w:val="18"/>
        </w:rPr>
        <w:t>y</w:t>
      </w:r>
      <w:r>
        <w:rPr>
          <w:spacing w:val="-2"/>
          <w:sz w:val="18"/>
        </w:rPr>
        <w:t> </w:t>
      </w:r>
      <w:r>
        <w:rPr>
          <w:sz w:val="18"/>
        </w:rPr>
        <w:t>nombre</w:t>
      </w:r>
      <w:r>
        <w:rPr>
          <w:spacing w:val="-2"/>
          <w:sz w:val="18"/>
        </w:rPr>
        <w:t> </w:t>
      </w:r>
      <w:r>
        <w:rPr>
          <w:sz w:val="18"/>
        </w:rPr>
        <w:t>completo).</w:t>
      </w:r>
    </w:p>
    <w:p>
      <w:pPr>
        <w:pStyle w:val="ListParagraph"/>
        <w:numPr>
          <w:ilvl w:val="1"/>
          <w:numId w:val="1"/>
        </w:numPr>
        <w:tabs>
          <w:tab w:pos="1220" w:val="left" w:leader="none"/>
        </w:tabs>
        <w:spacing w:line="249" w:lineRule="auto" w:before="91" w:after="0"/>
        <w:ind w:left="1219" w:right="137" w:hanging="360"/>
        <w:jc w:val="left"/>
        <w:rPr>
          <w:sz w:val="18"/>
        </w:rPr>
      </w:pPr>
      <w:r>
        <w:rPr>
          <w:sz w:val="18"/>
        </w:rPr>
        <w:t>Datos</w:t>
      </w:r>
      <w:r>
        <w:rPr>
          <w:spacing w:val="47"/>
          <w:sz w:val="18"/>
        </w:rPr>
        <w:t> </w:t>
      </w:r>
      <w:r>
        <w:rPr>
          <w:sz w:val="18"/>
        </w:rPr>
        <w:t>de</w:t>
      </w:r>
      <w:r>
        <w:rPr>
          <w:spacing w:val="47"/>
          <w:sz w:val="18"/>
        </w:rPr>
        <w:t> </w:t>
      </w:r>
      <w:r>
        <w:rPr>
          <w:sz w:val="18"/>
        </w:rPr>
        <w:t>la</w:t>
      </w:r>
      <w:r>
        <w:rPr>
          <w:spacing w:val="46"/>
          <w:sz w:val="18"/>
        </w:rPr>
        <w:t> </w:t>
      </w:r>
      <w:r>
        <w:rPr>
          <w:sz w:val="18"/>
        </w:rPr>
        <w:t>Cuenta</w:t>
      </w:r>
      <w:r>
        <w:rPr>
          <w:spacing w:val="48"/>
          <w:sz w:val="18"/>
        </w:rPr>
        <w:t> </w:t>
      </w:r>
      <w:r>
        <w:rPr>
          <w:sz w:val="18"/>
        </w:rPr>
        <w:t>Bancaria:</w:t>
      </w:r>
      <w:r>
        <w:rPr>
          <w:spacing w:val="46"/>
          <w:sz w:val="18"/>
        </w:rPr>
        <w:t> </w:t>
      </w:r>
      <w:r>
        <w:rPr>
          <w:sz w:val="18"/>
        </w:rPr>
        <w:t>detalle</w:t>
      </w:r>
      <w:r>
        <w:rPr>
          <w:spacing w:val="45"/>
          <w:sz w:val="18"/>
        </w:rPr>
        <w:t> </w:t>
      </w:r>
      <w:r>
        <w:rPr>
          <w:sz w:val="18"/>
        </w:rPr>
        <w:t>de</w:t>
      </w:r>
      <w:r>
        <w:rPr>
          <w:spacing w:val="47"/>
          <w:sz w:val="18"/>
        </w:rPr>
        <w:t> </w:t>
      </w:r>
      <w:r>
        <w:rPr>
          <w:sz w:val="18"/>
        </w:rPr>
        <w:t>la</w:t>
      </w:r>
      <w:r>
        <w:rPr>
          <w:spacing w:val="46"/>
          <w:sz w:val="18"/>
        </w:rPr>
        <w:t> </w:t>
      </w:r>
      <w:r>
        <w:rPr>
          <w:sz w:val="18"/>
        </w:rPr>
        <w:t>institución</w:t>
      </w:r>
      <w:r>
        <w:rPr>
          <w:spacing w:val="47"/>
          <w:sz w:val="18"/>
        </w:rPr>
        <w:t> </w:t>
      </w:r>
      <w:r>
        <w:rPr>
          <w:sz w:val="18"/>
        </w:rPr>
        <w:t>financiera,</w:t>
      </w:r>
      <w:r>
        <w:rPr>
          <w:spacing w:val="44"/>
          <w:sz w:val="18"/>
        </w:rPr>
        <w:t> </w:t>
      </w:r>
      <w:r>
        <w:rPr>
          <w:sz w:val="18"/>
        </w:rPr>
        <w:t>número</w:t>
      </w:r>
      <w:r>
        <w:rPr>
          <w:spacing w:val="47"/>
          <w:sz w:val="18"/>
        </w:rPr>
        <w:t> </w:t>
      </w:r>
      <w:r>
        <w:rPr>
          <w:sz w:val="18"/>
        </w:rPr>
        <w:t>y</w:t>
      </w:r>
      <w:r>
        <w:rPr>
          <w:spacing w:val="46"/>
          <w:sz w:val="18"/>
        </w:rPr>
        <w:t> </w:t>
      </w:r>
      <w:r>
        <w:rPr>
          <w:sz w:val="18"/>
        </w:rPr>
        <w:t>tipo</w:t>
      </w:r>
      <w:r>
        <w:rPr>
          <w:spacing w:val="46"/>
          <w:sz w:val="18"/>
        </w:rPr>
        <w:t> </w:t>
      </w:r>
      <w:r>
        <w:rPr>
          <w:sz w:val="18"/>
        </w:rPr>
        <w:t>de</w:t>
      </w:r>
      <w:r>
        <w:rPr>
          <w:spacing w:val="45"/>
          <w:sz w:val="18"/>
        </w:rPr>
        <w:t> </w:t>
      </w:r>
      <w:r>
        <w:rPr>
          <w:sz w:val="18"/>
        </w:rPr>
        <w:t>cuenta</w:t>
      </w:r>
      <w:r>
        <w:rPr>
          <w:spacing w:val="-47"/>
          <w:sz w:val="18"/>
        </w:rPr>
        <w:t> </w:t>
      </w:r>
      <w:r>
        <w:rPr>
          <w:sz w:val="18"/>
        </w:rPr>
        <w:t>bancaria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-2"/>
          <w:sz w:val="18"/>
        </w:rPr>
        <w:t> </w:t>
      </w:r>
      <w:r>
        <w:rPr>
          <w:sz w:val="18"/>
        </w:rPr>
        <w:t>la que</w:t>
      </w:r>
      <w:r>
        <w:rPr>
          <w:spacing w:val="-1"/>
          <w:sz w:val="18"/>
        </w:rPr>
        <w:t> </w:t>
      </w:r>
      <w:r>
        <w:rPr>
          <w:sz w:val="18"/>
        </w:rPr>
        <w:t>se depositan los</w:t>
      </w:r>
      <w:r>
        <w:rPr>
          <w:spacing w:val="1"/>
          <w:sz w:val="18"/>
        </w:rPr>
        <w:t> </w:t>
      </w:r>
      <w:r>
        <w:rPr>
          <w:sz w:val="18"/>
        </w:rPr>
        <w:t>recursos federales.</w:t>
      </w:r>
    </w:p>
    <w:p>
      <w:pPr>
        <w:pStyle w:val="ListParagraph"/>
        <w:numPr>
          <w:ilvl w:val="1"/>
          <w:numId w:val="1"/>
        </w:numPr>
        <w:tabs>
          <w:tab w:pos="1219" w:val="left" w:leader="none"/>
          <w:tab w:pos="1220" w:val="left" w:leader="none"/>
        </w:tabs>
        <w:spacing w:line="240" w:lineRule="auto" w:before="81" w:after="0"/>
        <w:ind w:left="1219" w:right="0" w:hanging="361"/>
        <w:jc w:val="left"/>
        <w:rPr>
          <w:sz w:val="18"/>
        </w:rPr>
      </w:pPr>
      <w:r>
        <w:rPr>
          <w:sz w:val="18"/>
        </w:rPr>
        <w:t>Periodicidad:</w:t>
      </w:r>
      <w:r>
        <w:rPr>
          <w:spacing w:val="-4"/>
          <w:sz w:val="18"/>
        </w:rPr>
        <w:t> </w:t>
      </w:r>
      <w:r>
        <w:rPr>
          <w:sz w:val="18"/>
        </w:rPr>
        <w:t>Anual,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acuerdo</w:t>
      </w:r>
      <w:r>
        <w:rPr>
          <w:spacing w:val="-2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cuenta</w:t>
      </w:r>
      <w:r>
        <w:rPr>
          <w:spacing w:val="-4"/>
          <w:sz w:val="18"/>
        </w:rPr>
        <w:t> </w:t>
      </w:r>
      <w:r>
        <w:rPr>
          <w:sz w:val="18"/>
        </w:rPr>
        <w:t>pública.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54" w:lineRule="auto" w:before="88" w:after="0"/>
        <w:ind w:left="859" w:right="146" w:hanging="432"/>
        <w:jc w:val="left"/>
        <w:rPr>
          <w:sz w:val="18"/>
        </w:rPr>
      </w:pPr>
      <w:r>
        <w:rPr>
          <w:sz w:val="18"/>
        </w:rPr>
        <w:t>Para</w:t>
      </w:r>
      <w:r>
        <w:rPr>
          <w:spacing w:val="13"/>
          <w:sz w:val="18"/>
        </w:rPr>
        <w:t> </w:t>
      </w:r>
      <w:r>
        <w:rPr>
          <w:sz w:val="18"/>
        </w:rPr>
        <w:t>la</w:t>
      </w:r>
      <w:r>
        <w:rPr>
          <w:spacing w:val="14"/>
          <w:sz w:val="18"/>
        </w:rPr>
        <w:t> </w:t>
      </w:r>
      <w:r>
        <w:rPr>
          <w:sz w:val="18"/>
        </w:rPr>
        <w:t>estructura</w:t>
      </w:r>
      <w:r>
        <w:rPr>
          <w:spacing w:val="14"/>
          <w:sz w:val="18"/>
        </w:rPr>
        <w:t> </w:t>
      </w:r>
      <w:r>
        <w:rPr>
          <w:sz w:val="18"/>
        </w:rPr>
        <w:t>de</w:t>
      </w:r>
      <w:r>
        <w:rPr>
          <w:spacing w:val="14"/>
          <w:sz w:val="18"/>
        </w:rPr>
        <w:t> </w:t>
      </w:r>
      <w:r>
        <w:rPr>
          <w:sz w:val="18"/>
        </w:rPr>
        <w:t>la</w:t>
      </w:r>
      <w:r>
        <w:rPr>
          <w:spacing w:val="13"/>
          <w:sz w:val="18"/>
        </w:rPr>
        <w:t> </w:t>
      </w:r>
      <w:r>
        <w:rPr>
          <w:sz w:val="18"/>
        </w:rPr>
        <w:t>información</w:t>
      </w:r>
      <w:r>
        <w:rPr>
          <w:spacing w:val="12"/>
          <w:sz w:val="18"/>
        </w:rPr>
        <w:t> </w:t>
      </w:r>
      <w:r>
        <w:rPr>
          <w:sz w:val="18"/>
        </w:rPr>
        <w:t>cuentas</w:t>
      </w:r>
      <w:r>
        <w:rPr>
          <w:spacing w:val="12"/>
          <w:sz w:val="18"/>
        </w:rPr>
        <w:t> </w:t>
      </w:r>
      <w:r>
        <w:rPr>
          <w:sz w:val="18"/>
        </w:rPr>
        <w:t>bancarias</w:t>
      </w:r>
      <w:r>
        <w:rPr>
          <w:spacing w:val="15"/>
          <w:sz w:val="18"/>
        </w:rPr>
        <w:t> </w:t>
      </w:r>
      <w:r>
        <w:rPr>
          <w:sz w:val="18"/>
        </w:rPr>
        <w:t>productivas</w:t>
      </w:r>
      <w:r>
        <w:rPr>
          <w:spacing w:val="15"/>
          <w:sz w:val="18"/>
        </w:rPr>
        <w:t> </w:t>
      </w:r>
      <w:r>
        <w:rPr>
          <w:sz w:val="18"/>
        </w:rPr>
        <w:t>específicas,</w:t>
      </w:r>
      <w:r>
        <w:rPr>
          <w:spacing w:val="14"/>
          <w:sz w:val="18"/>
        </w:rPr>
        <w:t> </w:t>
      </w:r>
      <w:r>
        <w:rPr>
          <w:sz w:val="18"/>
        </w:rPr>
        <w:t>los</w:t>
      </w:r>
      <w:r>
        <w:rPr>
          <w:spacing w:val="14"/>
          <w:sz w:val="18"/>
        </w:rPr>
        <w:t> </w:t>
      </w:r>
      <w:r>
        <w:rPr>
          <w:sz w:val="18"/>
        </w:rPr>
        <w:t>entes</w:t>
      </w:r>
      <w:r>
        <w:rPr>
          <w:spacing w:val="15"/>
          <w:sz w:val="18"/>
        </w:rPr>
        <w:t> </w:t>
      </w:r>
      <w:r>
        <w:rPr>
          <w:sz w:val="18"/>
        </w:rPr>
        <w:t>obligados</w:t>
      </w:r>
      <w:r>
        <w:rPr>
          <w:spacing w:val="-47"/>
          <w:sz w:val="18"/>
        </w:rPr>
        <w:t> </w:t>
      </w:r>
      <w:r>
        <w:rPr>
          <w:sz w:val="18"/>
        </w:rPr>
        <w:t>deberán</w:t>
      </w:r>
      <w:r>
        <w:rPr>
          <w:spacing w:val="-1"/>
          <w:sz w:val="18"/>
        </w:rPr>
        <w:t> </w:t>
      </w:r>
      <w:r>
        <w:rPr>
          <w:sz w:val="18"/>
        </w:rPr>
        <w:t>observar</w:t>
      </w:r>
      <w:r>
        <w:rPr>
          <w:spacing w:val="-2"/>
          <w:sz w:val="18"/>
        </w:rPr>
        <w:t> </w:t>
      </w:r>
      <w:r>
        <w:rPr>
          <w:sz w:val="18"/>
        </w:rPr>
        <w:t>los</w:t>
      </w:r>
      <w:r>
        <w:rPr>
          <w:spacing w:val="-2"/>
          <w:sz w:val="18"/>
        </w:rPr>
        <w:t> </w:t>
      </w:r>
      <w:r>
        <w:rPr>
          <w:sz w:val="18"/>
        </w:rPr>
        <w:t>criterios</w:t>
      </w:r>
      <w:r>
        <w:rPr>
          <w:spacing w:val="-1"/>
          <w:sz w:val="18"/>
        </w:rPr>
        <w:t> </w:t>
      </w:r>
      <w:r>
        <w:rPr>
          <w:sz w:val="18"/>
        </w:rPr>
        <w:t>e instrumentos</w:t>
      </w:r>
      <w:r>
        <w:rPr>
          <w:spacing w:val="-2"/>
          <w:sz w:val="18"/>
        </w:rPr>
        <w:t> </w:t>
      </w:r>
      <w:r>
        <w:rPr>
          <w:sz w:val="18"/>
        </w:rPr>
        <w:t>siguientes:</w:t>
      </w:r>
    </w:p>
    <w:p>
      <w:pPr>
        <w:pStyle w:val="BodyText"/>
        <w:spacing w:before="1"/>
        <w:ind w:left="0" w:firstLine="0"/>
        <w:rPr>
          <w:sz w:val="20"/>
        </w:rPr>
      </w:pPr>
    </w:p>
    <w:tbl>
      <w:tblPr>
        <w:tblW w:w="0" w:type="auto"/>
        <w:jc w:val="left"/>
        <w:tblInd w:w="15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1"/>
        <w:gridCol w:w="1621"/>
        <w:gridCol w:w="1621"/>
      </w:tblGrid>
      <w:tr>
        <w:trPr>
          <w:trHeight w:val="887" w:hRule="atLeast"/>
        </w:trPr>
        <w:tc>
          <w:tcPr>
            <w:tcW w:w="5403" w:type="dxa"/>
            <w:gridSpan w:val="3"/>
          </w:tcPr>
          <w:p>
            <w:pPr>
              <w:pStyle w:val="TableParagraph"/>
              <w:spacing w:before="41"/>
              <w:ind w:left="992" w:right="985"/>
              <w:jc w:val="center"/>
              <w:rPr>
                <w:sz w:val="14"/>
              </w:rPr>
            </w:pPr>
            <w:r>
              <w:rPr>
                <w:sz w:val="14"/>
              </w:rPr>
              <w:t>Entidad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Federativa/Municipio:</w:t>
            </w:r>
          </w:p>
          <w:p>
            <w:pPr>
              <w:pStyle w:val="TableParagraph"/>
              <w:spacing w:line="290" w:lineRule="atLeast" w:before="5"/>
              <w:ind w:left="993" w:right="985"/>
              <w:jc w:val="center"/>
              <w:rPr>
                <w:sz w:val="14"/>
              </w:rPr>
            </w:pPr>
            <w:r>
              <w:rPr>
                <w:sz w:val="14"/>
              </w:rPr>
              <w:t>Relación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cuentas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bancarias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productivas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específicas</w:t>
            </w:r>
            <w:r>
              <w:rPr>
                <w:spacing w:val="-36"/>
                <w:sz w:val="14"/>
              </w:rPr>
              <w:t> </w:t>
            </w:r>
            <w:r>
              <w:rPr>
                <w:sz w:val="14"/>
              </w:rPr>
              <w:t>Periodo (anual)</w:t>
            </w:r>
          </w:p>
        </w:tc>
      </w:tr>
      <w:tr>
        <w:trPr>
          <w:trHeight w:val="294" w:hRule="atLeast"/>
        </w:trPr>
        <w:tc>
          <w:tcPr>
            <w:tcW w:w="2161" w:type="dxa"/>
            <w:vMerge w:val="restart"/>
          </w:tcPr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160"/>
              <w:rPr>
                <w:sz w:val="14"/>
              </w:rPr>
            </w:pPr>
            <w:r>
              <w:rPr>
                <w:sz w:val="14"/>
              </w:rPr>
              <w:t>Fondo,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Programa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Convenio</w:t>
            </w:r>
          </w:p>
        </w:tc>
        <w:tc>
          <w:tcPr>
            <w:tcW w:w="3242" w:type="dxa"/>
            <w:gridSpan w:val="2"/>
          </w:tcPr>
          <w:p>
            <w:pPr>
              <w:pStyle w:val="TableParagraph"/>
              <w:spacing w:before="41"/>
              <w:ind w:left="724"/>
              <w:rPr>
                <w:sz w:val="14"/>
              </w:rPr>
            </w:pPr>
            <w:r>
              <w:rPr>
                <w:sz w:val="14"/>
              </w:rPr>
              <w:t>Datos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la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Cuenta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Bancaria</w:t>
            </w:r>
          </w:p>
        </w:tc>
      </w:tr>
      <w:tr>
        <w:trPr>
          <w:trHeight w:val="297" w:hRule="atLeast"/>
        </w:trPr>
        <w:tc>
          <w:tcPr>
            <w:tcW w:w="216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spacing w:before="43"/>
              <w:ind w:left="198"/>
              <w:rPr>
                <w:sz w:val="14"/>
              </w:rPr>
            </w:pPr>
            <w:r>
              <w:rPr>
                <w:sz w:val="14"/>
              </w:rPr>
              <w:t>Institución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Bancaria</w:t>
            </w:r>
          </w:p>
        </w:tc>
        <w:tc>
          <w:tcPr>
            <w:tcW w:w="1621" w:type="dxa"/>
          </w:tcPr>
          <w:p>
            <w:pPr>
              <w:pStyle w:val="TableParagraph"/>
              <w:spacing w:before="43"/>
              <w:ind w:left="217"/>
              <w:rPr>
                <w:sz w:val="14"/>
              </w:rPr>
            </w:pPr>
            <w:r>
              <w:rPr>
                <w:sz w:val="14"/>
              </w:rPr>
              <w:t>Número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Cuenta</w:t>
            </w:r>
          </w:p>
        </w:tc>
      </w:tr>
      <w:tr>
        <w:trPr>
          <w:trHeight w:val="296" w:hRule="atLeast"/>
        </w:trPr>
        <w:tc>
          <w:tcPr>
            <w:tcW w:w="21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4" w:hRule="atLeast"/>
        </w:trPr>
        <w:tc>
          <w:tcPr>
            <w:tcW w:w="21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7" w:hRule="atLeast"/>
        </w:trPr>
        <w:tc>
          <w:tcPr>
            <w:tcW w:w="21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4" w:hRule="atLeast"/>
        </w:trPr>
        <w:tc>
          <w:tcPr>
            <w:tcW w:w="21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7" w:hRule="atLeast"/>
        </w:trPr>
        <w:tc>
          <w:tcPr>
            <w:tcW w:w="216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before="41"/>
        <w:ind w:left="1579" w:right="0" w:firstLine="0"/>
        <w:jc w:val="left"/>
        <w:rPr>
          <w:sz w:val="14"/>
        </w:rPr>
      </w:pPr>
      <w:r>
        <w:rPr>
          <w:sz w:val="14"/>
        </w:rPr>
        <w:t>Nota:</w:t>
      </w:r>
      <w:r>
        <w:rPr>
          <w:spacing w:val="-3"/>
          <w:sz w:val="14"/>
        </w:rPr>
        <w:t> </w:t>
      </w:r>
      <w:r>
        <w:rPr>
          <w:sz w:val="14"/>
        </w:rPr>
        <w:t>Solo</w:t>
      </w:r>
      <w:r>
        <w:rPr>
          <w:spacing w:val="-2"/>
          <w:sz w:val="14"/>
        </w:rPr>
        <w:t> </w:t>
      </w:r>
      <w:r>
        <w:rPr>
          <w:sz w:val="14"/>
        </w:rPr>
        <w:t>información</w:t>
      </w:r>
      <w:r>
        <w:rPr>
          <w:spacing w:val="-2"/>
          <w:sz w:val="14"/>
        </w:rPr>
        <w:t> </w:t>
      </w:r>
      <w:r>
        <w:rPr>
          <w:sz w:val="14"/>
        </w:rPr>
        <w:t>de</w:t>
      </w:r>
      <w:r>
        <w:rPr>
          <w:spacing w:val="-2"/>
          <w:sz w:val="14"/>
        </w:rPr>
        <w:t> </w:t>
      </w:r>
      <w:r>
        <w:rPr>
          <w:sz w:val="14"/>
        </w:rPr>
        <w:t>cuentas</w:t>
      </w:r>
      <w:r>
        <w:rPr>
          <w:spacing w:val="-4"/>
          <w:sz w:val="14"/>
        </w:rPr>
        <w:t> </w:t>
      </w:r>
      <w:r>
        <w:rPr>
          <w:sz w:val="14"/>
        </w:rPr>
        <w:t>bancarias</w:t>
      </w:r>
      <w:r>
        <w:rPr>
          <w:spacing w:val="-4"/>
          <w:sz w:val="14"/>
        </w:rPr>
        <w:t> </w:t>
      </w:r>
      <w:r>
        <w:rPr>
          <w:sz w:val="14"/>
        </w:rPr>
        <w:t>del</w:t>
      </w:r>
      <w:r>
        <w:rPr>
          <w:spacing w:val="-4"/>
          <w:sz w:val="14"/>
        </w:rPr>
        <w:t> </w:t>
      </w:r>
      <w:r>
        <w:rPr>
          <w:sz w:val="14"/>
        </w:rPr>
        <w:t>ejercicio</w:t>
      </w:r>
      <w:r>
        <w:rPr>
          <w:spacing w:val="-4"/>
          <w:sz w:val="14"/>
        </w:rPr>
        <w:t> </w:t>
      </w:r>
      <w:r>
        <w:rPr>
          <w:sz w:val="14"/>
        </w:rPr>
        <w:t>fiscal</w:t>
      </w:r>
      <w:r>
        <w:rPr>
          <w:spacing w:val="-4"/>
          <w:sz w:val="14"/>
        </w:rPr>
        <w:t> </w:t>
      </w:r>
      <w:r>
        <w:rPr>
          <w:sz w:val="14"/>
        </w:rPr>
        <w:t>correspondiente.</w:t>
      </w:r>
    </w:p>
    <w:p>
      <w:pPr>
        <w:spacing w:after="0"/>
        <w:jc w:val="left"/>
        <w:rPr>
          <w:sz w:val="14"/>
        </w:rPr>
        <w:sectPr>
          <w:type w:val="continuous"/>
          <w:pgSz w:w="12240" w:h="15840"/>
          <w:pgMar w:top="1200" w:bottom="280" w:left="1560" w:right="1560"/>
        </w:sectPr>
      </w:pPr>
    </w:p>
    <w:p>
      <w:pPr>
        <w:pStyle w:val="BodyText"/>
        <w:spacing w:line="249" w:lineRule="auto" w:before="76"/>
        <w:ind w:left="139" w:right="131" w:firstLine="288"/>
        <w:jc w:val="both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 de la Secretaría de Hacienda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1 foja útil, rubricada y cotejada, denominado</w:t>
      </w:r>
      <w:r>
        <w:rPr>
          <w:spacing w:val="1"/>
        </w:rPr>
        <w:t> </w:t>
      </w:r>
      <w:r>
        <w:rPr/>
        <w:t>Norma para establecer la estructura de información</w:t>
      </w:r>
      <w:r>
        <w:rPr>
          <w:spacing w:val="1"/>
        </w:rPr>
        <w:t> </w:t>
      </w:r>
      <w:r>
        <w:rPr/>
        <w:t>de la relación de las cuentas bancarias productivas</w:t>
      </w:r>
      <w:r>
        <w:rPr>
          <w:spacing w:val="1"/>
        </w:rPr>
        <w:t> </w:t>
      </w:r>
      <w:r>
        <w:rPr/>
        <w:t>específicas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depositen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federales</w:t>
      </w:r>
      <w:r>
        <w:rPr>
          <w:spacing w:val="1"/>
        </w:rPr>
        <w:t> </w:t>
      </w:r>
      <w:r>
        <w:rPr/>
        <w:t>transferidos, corresponde con el texto aprobado por el Consejo Nacional de Armonización Contable, mismo</w:t>
      </w:r>
      <w:r>
        <w:rPr>
          <w:spacing w:val="1"/>
        </w:rPr>
        <w:t> </w:t>
      </w:r>
      <w:r>
        <w:rPr/>
        <w:t>que estuvo a la vista de los integrantes de dicho Consejo en su primera reunión celebrada, en segunda</w:t>
      </w:r>
      <w:r>
        <w:rPr>
          <w:spacing w:val="1"/>
        </w:rPr>
        <w:t> </w:t>
      </w:r>
      <w:r>
        <w:rPr/>
        <w:t>convocatoria,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año,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certifica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conducentes.- El Secretario Técnico del Consejo Nacional de Armonización Contable, </w:t>
      </w:r>
      <w:r>
        <w:rPr>
          <w:rFonts w:ascii="Arial" w:hAnsi="Arial"/>
          <w:b/>
        </w:rPr>
        <w:t>Juan Manuel Alcocer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Gamba</w:t>
      </w:r>
      <w:r>
        <w:rPr/>
        <w:t>.-</w:t>
      </w:r>
      <w:r>
        <w:rPr>
          <w:spacing w:val="-1"/>
        </w:rPr>
        <w:t> </w:t>
      </w:r>
      <w:r>
        <w:rPr/>
        <w:t>Rúbrica.</w:t>
      </w:r>
    </w:p>
    <w:sectPr>
      <w:pgSz w:w="12240" w:h="15840"/>
      <w:pgMar w:top="108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100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219" w:hanging="360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97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75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53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731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0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4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88"/>
      <w:ind w:left="859" w:hanging="432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83"/>
      <w:ind w:left="42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88"/>
      <w:ind w:left="859" w:hanging="432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julio_dominguez</dc:creator>
  <dcterms:created xsi:type="dcterms:W3CDTF">2022-02-01T18:53:14Z</dcterms:created>
  <dcterms:modified xsi:type="dcterms:W3CDTF">2022-02-01T18:53:14Z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