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pStyle w:val="Heading1"/>
        <w:spacing w:before="74" w:after="19"/>
        <w:ind w:left="139"/>
        <w:rPr>
          <w:rFonts w:ascii="Times New Roman"/>
        </w:rPr>
      </w:pPr>
      <w:r>
        <w:rPr>
          <w:rFonts w:ascii="Times New Roman"/>
        </w:rPr>
        <w:t>NORMA</w:t>
      </w:r>
      <w:r>
        <w:rPr>
          <w:rFonts w:ascii="Times New Roman"/>
          <w:spacing w:val="-3"/>
        </w:rPr>
        <w:t> </w:t>
      </w:r>
      <w:r>
        <w:rPr>
          <w:rFonts w:ascii="Times New Roman"/>
        </w:rPr>
        <w:t>para</w:t>
      </w:r>
      <w:r>
        <w:rPr>
          <w:rFonts w:ascii="Times New Roman"/>
          <w:spacing w:val="-4"/>
        </w:rPr>
        <w:t> </w:t>
      </w:r>
      <w:r>
        <w:rPr>
          <w:rFonts w:ascii="Times New Roman"/>
        </w:rPr>
        <w:t>establecer</w:t>
      </w:r>
      <w:r>
        <w:rPr>
          <w:rFonts w:ascii="Times New Roman"/>
          <w:spacing w:val="-3"/>
        </w:rPr>
        <w:t> </w:t>
      </w:r>
      <w:r>
        <w:rPr>
          <w:rFonts w:ascii="Times New Roman"/>
        </w:rPr>
        <w:t>la</w:t>
      </w:r>
      <w:r>
        <w:rPr>
          <w:rFonts w:ascii="Times New Roman"/>
          <w:spacing w:val="-4"/>
        </w:rPr>
        <w:t> </w:t>
      </w:r>
      <w:r>
        <w:rPr>
          <w:rFonts w:ascii="Times New Roman"/>
        </w:rPr>
        <w:t>estructura</w:t>
      </w:r>
      <w:r>
        <w:rPr>
          <w:rFonts w:ascii="Times New Roman"/>
          <w:spacing w:val="-2"/>
        </w:rPr>
        <w:t> </w:t>
      </w:r>
      <w:r>
        <w:rPr>
          <w:rFonts w:ascii="Times New Roman"/>
        </w:rPr>
        <w:t>del</w:t>
      </w:r>
      <w:r>
        <w:rPr>
          <w:rFonts w:ascii="Times New Roman"/>
          <w:spacing w:val="-2"/>
        </w:rPr>
        <w:t> </w:t>
      </w:r>
      <w:r>
        <w:rPr>
          <w:rFonts w:ascii="Times New Roman"/>
        </w:rPr>
        <w:t>Calendario</w:t>
      </w:r>
      <w:r>
        <w:rPr>
          <w:rFonts w:ascii="Times New Roman"/>
          <w:spacing w:val="-1"/>
        </w:rPr>
        <w:t> </w:t>
      </w:r>
      <w:r>
        <w:rPr>
          <w:rFonts w:ascii="Times New Roman"/>
        </w:rPr>
        <w:t>del</w:t>
      </w:r>
      <w:r>
        <w:rPr>
          <w:rFonts w:ascii="Times New Roman"/>
          <w:spacing w:val="-3"/>
        </w:rPr>
        <w:t> </w:t>
      </w:r>
      <w:r>
        <w:rPr>
          <w:rFonts w:ascii="Times New Roman"/>
        </w:rPr>
        <w:t>Presupuesto</w:t>
      </w:r>
      <w:r>
        <w:rPr>
          <w:rFonts w:ascii="Times New Roman"/>
          <w:spacing w:val="-2"/>
        </w:rPr>
        <w:t> </w:t>
      </w:r>
      <w:r>
        <w:rPr>
          <w:rFonts w:ascii="Times New Roman"/>
        </w:rPr>
        <w:t>de</w:t>
      </w:r>
      <w:r>
        <w:rPr>
          <w:rFonts w:ascii="Times New Roman"/>
          <w:spacing w:val="-3"/>
        </w:rPr>
        <w:t> </w:t>
      </w:r>
      <w:r>
        <w:rPr>
          <w:rFonts w:ascii="Times New Roman"/>
        </w:rPr>
        <w:t>Egresos</w:t>
      </w:r>
      <w:r>
        <w:rPr>
          <w:rFonts w:ascii="Times New Roman"/>
          <w:spacing w:val="-3"/>
        </w:rPr>
        <w:t> </w:t>
      </w:r>
      <w:r>
        <w:rPr>
          <w:rFonts w:ascii="Times New Roman"/>
        </w:rPr>
        <w:t>base</w:t>
      </w:r>
      <w:r>
        <w:rPr>
          <w:rFonts w:ascii="Times New Roman"/>
          <w:spacing w:val="1"/>
        </w:rPr>
        <w:t> </w:t>
      </w:r>
      <w:r>
        <w:rPr>
          <w:rFonts w:ascii="Times New Roman"/>
        </w:rPr>
        <w:t>mensual.</w:t>
      </w:r>
    </w:p>
    <w:p>
      <w:pPr>
        <w:pStyle w:val="BodyText"/>
        <w:spacing w:line="28" w:lineRule="exact"/>
        <w:ind w:left="110" w:firstLine="0"/>
        <w:jc w:val="left"/>
        <w:rPr>
          <w:rFonts w:ascii="Times New Roman"/>
          <w:sz w:val="2"/>
        </w:rPr>
      </w:pPr>
      <w:r>
        <w:rPr>
          <w:rFonts w:ascii="Times New Roman"/>
          <w:position w:val="0"/>
          <w:sz w:val="2"/>
        </w:rPr>
        <w:pict>
          <v:group style="width:445.05pt;height:1.45pt;mso-position-horizontal-relative:char;mso-position-vertical-relative:line" coordorigin="0,0" coordsize="8901,29">
            <v:rect style="position:absolute;left:0;top:0;width:8901;height:29" filled="true" fillcolor="#000000" stroked="false">
              <v:fill type="solid"/>
            </v:rect>
          </v:group>
        </w:pict>
      </w:r>
      <w:r>
        <w:rPr>
          <w:rFonts w:ascii="Times New Roman"/>
          <w:position w:val="0"/>
          <w:sz w:val="2"/>
        </w:rPr>
      </w:r>
    </w:p>
    <w:p>
      <w:pPr>
        <w:pStyle w:val="BodyText"/>
        <w:spacing w:before="9"/>
        <w:ind w:left="0" w:firstLine="0"/>
        <w:jc w:val="left"/>
        <w:rPr>
          <w:rFonts w:ascii="Times New Roman"/>
          <w:b/>
          <w:sz w:val="19"/>
        </w:rPr>
      </w:pPr>
    </w:p>
    <w:p>
      <w:pPr>
        <w:pStyle w:val="BodyText"/>
        <w:spacing w:line="249" w:lineRule="auto" w:before="94"/>
        <w:ind w:left="139" w:right="135" w:firstLine="288"/>
      </w:pPr>
      <w:r>
        <w:rPr/>
        <w:t>Con fundamento en los artículos 9, fracciones I y IX, 14 y 66, segundo párrafo, de la Ley General de</w:t>
      </w:r>
      <w:r>
        <w:rPr>
          <w:spacing w:val="1"/>
        </w:rPr>
        <w:t> </w:t>
      </w:r>
      <w:r>
        <w:rPr/>
        <w:t>Contabilidad Gubernamental y Cuarto Transitorio del Decreto por el que se reforma y adiciona la Ley General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Contabilidad</w:t>
      </w:r>
      <w:r>
        <w:rPr>
          <w:spacing w:val="1"/>
        </w:rPr>
        <w:t> </w:t>
      </w:r>
      <w:r>
        <w:rPr/>
        <w:t>Gubernamental,</w:t>
      </w:r>
      <w:r>
        <w:rPr>
          <w:spacing w:val="1"/>
        </w:rPr>
        <w:t> </w:t>
      </w:r>
      <w:r>
        <w:rPr/>
        <w:t>para</w:t>
      </w:r>
      <w:r>
        <w:rPr>
          <w:spacing w:val="1"/>
        </w:rPr>
        <w:t> </w:t>
      </w:r>
      <w:r>
        <w:rPr/>
        <w:t>transparentar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armonizar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información</w:t>
      </w:r>
      <w:r>
        <w:rPr>
          <w:spacing w:val="1"/>
        </w:rPr>
        <w:t> </w:t>
      </w:r>
      <w:r>
        <w:rPr/>
        <w:t>financiera</w:t>
      </w:r>
      <w:r>
        <w:rPr>
          <w:spacing w:val="1"/>
        </w:rPr>
        <w:t> </w:t>
      </w:r>
      <w:r>
        <w:rPr/>
        <w:t>relativa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aplicación de recursos públicos en los distintos órdenes de gobierno publicado en el Diario Oficial 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Federación</w:t>
      </w:r>
      <w:r>
        <w:rPr>
          <w:spacing w:val="-1"/>
        </w:rPr>
        <w:t> </w:t>
      </w:r>
      <w:r>
        <w:rPr/>
        <w:t>el 12</w:t>
      </w:r>
      <w:r>
        <w:rPr>
          <w:spacing w:val="-2"/>
        </w:rPr>
        <w:t> </w:t>
      </w:r>
      <w:r>
        <w:rPr/>
        <w:t>de noviembre de</w:t>
      </w:r>
      <w:r>
        <w:rPr>
          <w:spacing w:val="-1"/>
        </w:rPr>
        <w:t> </w:t>
      </w:r>
      <w:r>
        <w:rPr/>
        <w:t>2012</w:t>
      </w:r>
      <w:r>
        <w:rPr>
          <w:spacing w:val="-2"/>
        </w:rPr>
        <w:t> </w:t>
      </w:r>
      <w:r>
        <w:rPr/>
        <w:t>se</w:t>
      </w:r>
      <w:r>
        <w:rPr>
          <w:spacing w:val="-2"/>
        </w:rPr>
        <w:t> </w:t>
      </w:r>
      <w:r>
        <w:rPr/>
        <w:t>emite</w:t>
      </w:r>
      <w:r>
        <w:rPr>
          <w:spacing w:val="-2"/>
        </w:rPr>
        <w:t> </w:t>
      </w:r>
      <w:r>
        <w:rPr/>
        <w:t>la:</w:t>
      </w:r>
    </w:p>
    <w:p>
      <w:pPr>
        <w:pStyle w:val="Heading1"/>
        <w:spacing w:line="367" w:lineRule="auto"/>
        <w:ind w:firstLine="71"/>
      </w:pPr>
      <w:r>
        <w:rPr/>
        <w:t>Norma</w:t>
      </w:r>
      <w:r>
        <w:rPr>
          <w:spacing w:val="-3"/>
        </w:rPr>
        <w:t> </w:t>
      </w:r>
      <w:r>
        <w:rPr/>
        <w:t>para</w:t>
      </w:r>
      <w:r>
        <w:rPr>
          <w:spacing w:val="-4"/>
        </w:rPr>
        <w:t> </w:t>
      </w:r>
      <w:r>
        <w:rPr/>
        <w:t>establecer</w:t>
      </w:r>
      <w:r>
        <w:rPr>
          <w:spacing w:val="-5"/>
        </w:rPr>
        <w:t> </w:t>
      </w:r>
      <w:r>
        <w:rPr/>
        <w:t>la</w:t>
      </w:r>
      <w:r>
        <w:rPr>
          <w:spacing w:val="-2"/>
        </w:rPr>
        <w:t> </w:t>
      </w:r>
      <w:r>
        <w:rPr/>
        <w:t>estructura</w:t>
      </w:r>
      <w:r>
        <w:rPr>
          <w:spacing w:val="-2"/>
        </w:rPr>
        <w:t> </w:t>
      </w:r>
      <w:r>
        <w:rPr/>
        <w:t>del</w:t>
      </w:r>
      <w:r>
        <w:rPr>
          <w:spacing w:val="-4"/>
        </w:rPr>
        <w:t> </w:t>
      </w:r>
      <w:r>
        <w:rPr/>
        <w:t>Calendario</w:t>
      </w:r>
      <w:r>
        <w:rPr>
          <w:spacing w:val="-2"/>
        </w:rPr>
        <w:t> </w:t>
      </w:r>
      <w:r>
        <w:rPr/>
        <w:t>del</w:t>
      </w:r>
      <w:r>
        <w:rPr>
          <w:spacing w:val="-2"/>
        </w:rPr>
        <w:t> </w:t>
      </w:r>
      <w:r>
        <w:rPr/>
        <w:t>Presupuesto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Egresos</w:t>
      </w:r>
      <w:r>
        <w:rPr>
          <w:spacing w:val="-2"/>
        </w:rPr>
        <w:t> </w:t>
      </w:r>
      <w:r>
        <w:rPr/>
        <w:t>base</w:t>
      </w:r>
      <w:r>
        <w:rPr>
          <w:spacing w:val="-4"/>
        </w:rPr>
        <w:t> </w:t>
      </w:r>
      <w:r>
        <w:rPr/>
        <w:t>mensual.</w:t>
      </w:r>
      <w:r>
        <w:rPr>
          <w:spacing w:val="-47"/>
        </w:rPr>
        <w:t> </w:t>
      </w:r>
      <w:r>
        <w:rPr/>
        <w:t>Objeto</w:t>
      </w:r>
    </w:p>
    <w:p>
      <w:pPr>
        <w:pStyle w:val="ListParagraph"/>
        <w:numPr>
          <w:ilvl w:val="0"/>
          <w:numId w:val="1"/>
        </w:numPr>
        <w:tabs>
          <w:tab w:pos="860" w:val="left" w:leader="none"/>
        </w:tabs>
        <w:spacing w:line="249" w:lineRule="auto" w:before="0" w:after="0"/>
        <w:ind w:left="859" w:right="144" w:hanging="432"/>
        <w:jc w:val="both"/>
        <w:rPr>
          <w:sz w:val="18"/>
        </w:rPr>
      </w:pPr>
      <w:r>
        <w:rPr>
          <w:sz w:val="18"/>
        </w:rPr>
        <w:t>Establecer la estructura del formato para publicar en internet el Calendario del Presupuesto de</w:t>
      </w:r>
      <w:r>
        <w:rPr>
          <w:spacing w:val="1"/>
          <w:sz w:val="18"/>
        </w:rPr>
        <w:t> </w:t>
      </w:r>
      <w:r>
        <w:rPr>
          <w:sz w:val="18"/>
        </w:rPr>
        <w:t>Egresos</w:t>
      </w:r>
      <w:r>
        <w:rPr>
          <w:spacing w:val="1"/>
          <w:sz w:val="18"/>
        </w:rPr>
        <w:t> </w:t>
      </w:r>
      <w:r>
        <w:rPr>
          <w:sz w:val="18"/>
        </w:rPr>
        <w:t>base</w:t>
      </w:r>
      <w:r>
        <w:rPr>
          <w:spacing w:val="1"/>
          <w:sz w:val="18"/>
        </w:rPr>
        <w:t> </w:t>
      </w:r>
      <w:r>
        <w:rPr>
          <w:sz w:val="18"/>
        </w:rPr>
        <w:t>mensual</w:t>
      </w:r>
      <w:r>
        <w:rPr>
          <w:spacing w:val="1"/>
          <w:sz w:val="18"/>
        </w:rPr>
        <w:t> </w:t>
      </w:r>
      <w:r>
        <w:rPr>
          <w:sz w:val="18"/>
        </w:rPr>
        <w:t>para</w:t>
      </w:r>
      <w:r>
        <w:rPr>
          <w:spacing w:val="1"/>
          <w:sz w:val="18"/>
        </w:rPr>
        <w:t> </w:t>
      </w:r>
      <w:r>
        <w:rPr>
          <w:sz w:val="18"/>
        </w:rPr>
        <w:t>que</w:t>
      </w:r>
      <w:r>
        <w:rPr>
          <w:spacing w:val="1"/>
          <w:sz w:val="18"/>
        </w:rPr>
        <w:t> </w:t>
      </w:r>
      <w:r>
        <w:rPr>
          <w:sz w:val="18"/>
        </w:rPr>
        <w:t>la</w:t>
      </w:r>
      <w:r>
        <w:rPr>
          <w:spacing w:val="1"/>
          <w:sz w:val="18"/>
        </w:rPr>
        <w:t> </w:t>
      </w:r>
      <w:r>
        <w:rPr>
          <w:sz w:val="18"/>
        </w:rPr>
        <w:t>información</w:t>
      </w:r>
      <w:r>
        <w:rPr>
          <w:spacing w:val="1"/>
          <w:sz w:val="18"/>
        </w:rPr>
        <w:t> </w:t>
      </w:r>
      <w:r>
        <w:rPr>
          <w:sz w:val="18"/>
        </w:rPr>
        <w:t>financiera</w:t>
      </w:r>
      <w:r>
        <w:rPr>
          <w:spacing w:val="1"/>
          <w:sz w:val="18"/>
        </w:rPr>
        <w:t> </w:t>
      </w:r>
      <w:r>
        <w:rPr>
          <w:sz w:val="18"/>
        </w:rPr>
        <w:t>que</w:t>
      </w:r>
      <w:r>
        <w:rPr>
          <w:spacing w:val="1"/>
          <w:sz w:val="18"/>
        </w:rPr>
        <w:t> </w:t>
      </w:r>
      <w:r>
        <w:rPr>
          <w:sz w:val="18"/>
        </w:rPr>
        <w:t>generen</w:t>
      </w:r>
      <w:r>
        <w:rPr>
          <w:spacing w:val="1"/>
          <w:sz w:val="18"/>
        </w:rPr>
        <w:t> </w:t>
      </w:r>
      <w:r>
        <w:rPr>
          <w:sz w:val="18"/>
        </w:rPr>
        <w:t>y</w:t>
      </w:r>
      <w:r>
        <w:rPr>
          <w:spacing w:val="1"/>
          <w:sz w:val="18"/>
        </w:rPr>
        <w:t> </w:t>
      </w:r>
      <w:r>
        <w:rPr>
          <w:sz w:val="18"/>
        </w:rPr>
        <w:t>publiquen</w:t>
      </w:r>
      <w:r>
        <w:rPr>
          <w:spacing w:val="1"/>
          <w:sz w:val="18"/>
        </w:rPr>
        <w:t> </w:t>
      </w:r>
      <w:r>
        <w:rPr>
          <w:sz w:val="18"/>
        </w:rPr>
        <w:t>los</w:t>
      </w:r>
      <w:r>
        <w:rPr>
          <w:spacing w:val="1"/>
          <w:sz w:val="18"/>
        </w:rPr>
        <w:t> </w:t>
      </w:r>
      <w:r>
        <w:rPr>
          <w:sz w:val="18"/>
        </w:rPr>
        <w:t>entes</w:t>
      </w:r>
      <w:r>
        <w:rPr>
          <w:spacing w:val="1"/>
          <w:sz w:val="18"/>
        </w:rPr>
        <w:t> </w:t>
      </w:r>
      <w:r>
        <w:rPr>
          <w:sz w:val="18"/>
        </w:rPr>
        <w:t>obligados</w:t>
      </w:r>
      <w:r>
        <w:rPr>
          <w:spacing w:val="-2"/>
          <w:sz w:val="18"/>
        </w:rPr>
        <w:t> </w:t>
      </w:r>
      <w:r>
        <w:rPr>
          <w:sz w:val="18"/>
        </w:rPr>
        <w:t>sea</w:t>
      </w:r>
      <w:r>
        <w:rPr>
          <w:spacing w:val="-2"/>
          <w:sz w:val="18"/>
        </w:rPr>
        <w:t> </w:t>
      </w:r>
      <w:r>
        <w:rPr>
          <w:sz w:val="18"/>
        </w:rPr>
        <w:t>con</w:t>
      </w:r>
      <w:r>
        <w:rPr>
          <w:spacing w:val="-2"/>
          <w:sz w:val="18"/>
        </w:rPr>
        <w:t> </w:t>
      </w:r>
      <w:r>
        <w:rPr>
          <w:sz w:val="18"/>
        </w:rPr>
        <w:t>base</w:t>
      </w:r>
      <w:r>
        <w:rPr>
          <w:spacing w:val="-1"/>
          <w:sz w:val="18"/>
        </w:rPr>
        <w:t> </w:t>
      </w:r>
      <w:r>
        <w:rPr>
          <w:sz w:val="18"/>
        </w:rPr>
        <w:t>en estructuras</w:t>
      </w:r>
      <w:r>
        <w:rPr>
          <w:spacing w:val="1"/>
          <w:sz w:val="18"/>
        </w:rPr>
        <w:t> </w:t>
      </w:r>
      <w:r>
        <w:rPr>
          <w:sz w:val="18"/>
        </w:rPr>
        <w:t>y</w:t>
      </w:r>
      <w:r>
        <w:rPr>
          <w:spacing w:val="-1"/>
          <w:sz w:val="18"/>
        </w:rPr>
        <w:t> </w:t>
      </w:r>
      <w:r>
        <w:rPr>
          <w:sz w:val="18"/>
        </w:rPr>
        <w:t>formatos</w:t>
      </w:r>
      <w:r>
        <w:rPr>
          <w:spacing w:val="-2"/>
          <w:sz w:val="18"/>
        </w:rPr>
        <w:t> </w:t>
      </w:r>
      <w:r>
        <w:rPr>
          <w:sz w:val="18"/>
        </w:rPr>
        <w:t>armonizados.</w:t>
      </w:r>
    </w:p>
    <w:p>
      <w:pPr>
        <w:pStyle w:val="Heading1"/>
      </w:pPr>
      <w:r>
        <w:rPr/>
        <w:t>Ambito</w:t>
      </w:r>
      <w:r>
        <w:rPr>
          <w:spacing w:val="-3"/>
        </w:rPr>
        <w:t> </w:t>
      </w:r>
      <w:r>
        <w:rPr/>
        <w:t>de</w:t>
      </w:r>
      <w:r>
        <w:rPr>
          <w:spacing w:val="-2"/>
        </w:rPr>
        <w:t> </w:t>
      </w:r>
      <w:r>
        <w:rPr/>
        <w:t>aplicación</w:t>
      </w:r>
    </w:p>
    <w:p>
      <w:pPr>
        <w:pStyle w:val="ListParagraph"/>
        <w:numPr>
          <w:ilvl w:val="0"/>
          <w:numId w:val="1"/>
        </w:numPr>
        <w:tabs>
          <w:tab w:pos="860" w:val="left" w:leader="none"/>
        </w:tabs>
        <w:spacing w:line="249" w:lineRule="auto" w:before="110" w:after="0"/>
        <w:ind w:left="859" w:right="134" w:hanging="432"/>
        <w:jc w:val="both"/>
        <w:rPr>
          <w:sz w:val="18"/>
        </w:rPr>
      </w:pPr>
      <w:r>
        <w:rPr>
          <w:sz w:val="18"/>
        </w:rPr>
        <w:t>Las presentes disposiciones serán de observancia obligatoria para: las secretarías de finanzas o sus</w:t>
      </w:r>
      <w:r>
        <w:rPr>
          <w:spacing w:val="1"/>
          <w:sz w:val="18"/>
        </w:rPr>
        <w:t> </w:t>
      </w:r>
      <w:r>
        <w:rPr>
          <w:sz w:val="18"/>
        </w:rPr>
        <w:t>equivalentes de</w:t>
      </w:r>
      <w:r>
        <w:rPr>
          <w:spacing w:val="-1"/>
          <w:sz w:val="18"/>
        </w:rPr>
        <w:t> </w:t>
      </w:r>
      <w:r>
        <w:rPr>
          <w:sz w:val="18"/>
        </w:rPr>
        <w:t>las entidades</w:t>
      </w:r>
      <w:r>
        <w:rPr>
          <w:spacing w:val="-1"/>
          <w:sz w:val="18"/>
        </w:rPr>
        <w:t> </w:t>
      </w:r>
      <w:r>
        <w:rPr>
          <w:sz w:val="18"/>
        </w:rPr>
        <w:t>federativas,</w:t>
      </w:r>
      <w:r>
        <w:rPr>
          <w:spacing w:val="-3"/>
          <w:sz w:val="18"/>
        </w:rPr>
        <w:t> </w:t>
      </w:r>
      <w:r>
        <w:rPr>
          <w:sz w:val="18"/>
        </w:rPr>
        <w:t>así</w:t>
      </w:r>
      <w:r>
        <w:rPr>
          <w:spacing w:val="-3"/>
          <w:sz w:val="18"/>
        </w:rPr>
        <w:t> </w:t>
      </w:r>
      <w:r>
        <w:rPr>
          <w:sz w:val="18"/>
        </w:rPr>
        <w:t>como</w:t>
      </w:r>
      <w:r>
        <w:rPr>
          <w:spacing w:val="-2"/>
          <w:sz w:val="18"/>
        </w:rPr>
        <w:t> </w:t>
      </w:r>
      <w:r>
        <w:rPr>
          <w:sz w:val="18"/>
        </w:rPr>
        <w:t>las</w:t>
      </w:r>
      <w:r>
        <w:rPr>
          <w:spacing w:val="-3"/>
          <w:sz w:val="18"/>
        </w:rPr>
        <w:t> </w:t>
      </w:r>
      <w:r>
        <w:rPr>
          <w:sz w:val="18"/>
        </w:rPr>
        <w:t>tesorerías</w:t>
      </w:r>
      <w:r>
        <w:rPr>
          <w:spacing w:val="-2"/>
          <w:sz w:val="18"/>
        </w:rPr>
        <w:t> </w:t>
      </w:r>
      <w:r>
        <w:rPr>
          <w:sz w:val="18"/>
        </w:rPr>
        <w:t>de</w:t>
      </w:r>
      <w:r>
        <w:rPr>
          <w:spacing w:val="-1"/>
          <w:sz w:val="18"/>
        </w:rPr>
        <w:t> </w:t>
      </w:r>
      <w:r>
        <w:rPr>
          <w:sz w:val="18"/>
        </w:rPr>
        <w:t>los</w:t>
      </w:r>
      <w:r>
        <w:rPr>
          <w:spacing w:val="-1"/>
          <w:sz w:val="18"/>
        </w:rPr>
        <w:t> </w:t>
      </w:r>
      <w:r>
        <w:rPr>
          <w:sz w:val="18"/>
        </w:rPr>
        <w:t>municipios.</w:t>
      </w:r>
    </w:p>
    <w:p>
      <w:pPr>
        <w:pStyle w:val="Heading1"/>
        <w:spacing w:before="103"/>
      </w:pPr>
      <w:r>
        <w:rPr/>
        <w:t>Normas</w:t>
      </w:r>
    </w:p>
    <w:p>
      <w:pPr>
        <w:pStyle w:val="ListParagraph"/>
        <w:numPr>
          <w:ilvl w:val="0"/>
          <w:numId w:val="1"/>
        </w:numPr>
        <w:tabs>
          <w:tab w:pos="860" w:val="left" w:leader="none"/>
        </w:tabs>
        <w:spacing w:line="249" w:lineRule="auto" w:before="110" w:after="0"/>
        <w:ind w:left="859" w:right="139" w:hanging="432"/>
        <w:jc w:val="both"/>
        <w:rPr>
          <w:sz w:val="18"/>
        </w:rPr>
      </w:pPr>
      <w:r>
        <w:rPr>
          <w:sz w:val="18"/>
        </w:rPr>
        <w:t>En apego al artículo 66 de la Ley General de Contabilidad Gubernamental, las</w:t>
      </w:r>
      <w:r>
        <w:rPr>
          <w:spacing w:val="1"/>
          <w:sz w:val="18"/>
        </w:rPr>
        <w:t> </w:t>
      </w:r>
      <w:r>
        <w:rPr>
          <w:sz w:val="18"/>
        </w:rPr>
        <w:t>secretarías</w:t>
      </w:r>
      <w:r>
        <w:rPr>
          <w:spacing w:val="50"/>
          <w:sz w:val="18"/>
        </w:rPr>
        <w:t> </w:t>
      </w:r>
      <w:r>
        <w:rPr>
          <w:sz w:val="18"/>
        </w:rPr>
        <w:t>de</w:t>
      </w:r>
      <w:r>
        <w:rPr>
          <w:spacing w:val="1"/>
          <w:sz w:val="18"/>
        </w:rPr>
        <w:t> </w:t>
      </w:r>
      <w:r>
        <w:rPr>
          <w:sz w:val="18"/>
        </w:rPr>
        <w:t>finanzas o sus equivalentes de las entidades federativas, así como las tesorerías de los municipios</w:t>
      </w:r>
      <w:r>
        <w:rPr>
          <w:spacing w:val="1"/>
          <w:sz w:val="18"/>
        </w:rPr>
        <w:t> </w:t>
      </w:r>
      <w:r>
        <w:rPr>
          <w:sz w:val="18"/>
        </w:rPr>
        <w:t>deberán publicar en Internet, los calendarios de presupuesto de egresos con base mensual, en los</w:t>
      </w:r>
      <w:r>
        <w:rPr>
          <w:spacing w:val="1"/>
          <w:sz w:val="18"/>
        </w:rPr>
        <w:t> </w:t>
      </w:r>
      <w:r>
        <w:rPr>
          <w:sz w:val="18"/>
        </w:rPr>
        <w:t>formatos y</w:t>
      </w:r>
      <w:r>
        <w:rPr>
          <w:spacing w:val="-2"/>
          <w:sz w:val="18"/>
        </w:rPr>
        <w:t> </w:t>
      </w:r>
      <w:r>
        <w:rPr>
          <w:sz w:val="18"/>
        </w:rPr>
        <w:t>plazos</w:t>
      </w:r>
      <w:r>
        <w:rPr>
          <w:spacing w:val="-1"/>
          <w:sz w:val="18"/>
        </w:rPr>
        <w:t> </w:t>
      </w:r>
      <w:r>
        <w:rPr>
          <w:sz w:val="18"/>
        </w:rPr>
        <w:t>que</w:t>
      </w:r>
      <w:r>
        <w:rPr>
          <w:spacing w:val="-3"/>
          <w:sz w:val="18"/>
        </w:rPr>
        <w:t> </w:t>
      </w:r>
      <w:r>
        <w:rPr>
          <w:sz w:val="18"/>
        </w:rPr>
        <w:t>determine</w:t>
      </w:r>
      <w:r>
        <w:rPr>
          <w:spacing w:val="-1"/>
          <w:sz w:val="18"/>
        </w:rPr>
        <w:t> </w:t>
      </w:r>
      <w:r>
        <w:rPr>
          <w:sz w:val="18"/>
        </w:rPr>
        <w:t>el</w:t>
      </w:r>
      <w:r>
        <w:rPr>
          <w:spacing w:val="-2"/>
          <w:sz w:val="18"/>
        </w:rPr>
        <w:t> </w:t>
      </w:r>
      <w:r>
        <w:rPr>
          <w:sz w:val="18"/>
        </w:rPr>
        <w:t>Consejo</w:t>
      </w:r>
      <w:r>
        <w:rPr>
          <w:spacing w:val="-1"/>
          <w:sz w:val="18"/>
        </w:rPr>
        <w:t> </w:t>
      </w:r>
      <w:r>
        <w:rPr>
          <w:sz w:val="18"/>
        </w:rPr>
        <w:t>Nacional</w:t>
      </w:r>
      <w:r>
        <w:rPr>
          <w:spacing w:val="-1"/>
          <w:sz w:val="18"/>
        </w:rPr>
        <w:t> </w:t>
      </w:r>
      <w:r>
        <w:rPr>
          <w:sz w:val="18"/>
        </w:rPr>
        <w:t>de</w:t>
      </w:r>
      <w:r>
        <w:rPr>
          <w:spacing w:val="-2"/>
          <w:sz w:val="18"/>
        </w:rPr>
        <w:t> </w:t>
      </w:r>
      <w:r>
        <w:rPr>
          <w:sz w:val="18"/>
        </w:rPr>
        <w:t>Armonización</w:t>
      </w:r>
      <w:r>
        <w:rPr>
          <w:spacing w:val="-1"/>
          <w:sz w:val="18"/>
        </w:rPr>
        <w:t> </w:t>
      </w:r>
      <w:r>
        <w:rPr>
          <w:sz w:val="18"/>
        </w:rPr>
        <w:t>Contable.</w:t>
      </w:r>
    </w:p>
    <w:p>
      <w:pPr>
        <w:pStyle w:val="ListParagraph"/>
        <w:numPr>
          <w:ilvl w:val="0"/>
          <w:numId w:val="1"/>
        </w:numPr>
        <w:tabs>
          <w:tab w:pos="860" w:val="left" w:leader="none"/>
        </w:tabs>
        <w:spacing w:line="249" w:lineRule="auto" w:before="104" w:after="0"/>
        <w:ind w:left="859" w:right="140" w:hanging="432"/>
        <w:jc w:val="both"/>
        <w:rPr>
          <w:sz w:val="18"/>
        </w:rPr>
      </w:pPr>
      <w:r>
        <w:rPr>
          <w:sz w:val="18"/>
        </w:rPr>
        <w:t>La Secretaría de Hacienda y Crédito Público publicará en el Diario Oficial de la Federación los</w:t>
      </w:r>
      <w:r>
        <w:rPr>
          <w:spacing w:val="1"/>
          <w:sz w:val="18"/>
        </w:rPr>
        <w:t> </w:t>
      </w:r>
      <w:r>
        <w:rPr>
          <w:sz w:val="18"/>
        </w:rPr>
        <w:t>Calendarios de Presupuesto de Egresos con base mensual en los términos de la Ley Federal de</w:t>
      </w:r>
      <w:r>
        <w:rPr>
          <w:spacing w:val="1"/>
          <w:sz w:val="18"/>
        </w:rPr>
        <w:t> </w:t>
      </w:r>
      <w:r>
        <w:rPr>
          <w:sz w:val="18"/>
        </w:rPr>
        <w:t>Presupuesto</w:t>
      </w:r>
      <w:r>
        <w:rPr>
          <w:spacing w:val="-1"/>
          <w:sz w:val="18"/>
        </w:rPr>
        <w:t> </w:t>
      </w:r>
      <w:r>
        <w:rPr>
          <w:sz w:val="18"/>
        </w:rPr>
        <w:t>y</w:t>
      </w:r>
      <w:r>
        <w:rPr>
          <w:spacing w:val="-1"/>
          <w:sz w:val="18"/>
        </w:rPr>
        <w:t> </w:t>
      </w:r>
      <w:r>
        <w:rPr>
          <w:sz w:val="18"/>
        </w:rPr>
        <w:t>Responsabilidad Hacendaria.</w:t>
      </w:r>
    </w:p>
    <w:p>
      <w:pPr>
        <w:pStyle w:val="Heading1"/>
        <w:spacing w:before="71"/>
      </w:pPr>
      <w:r>
        <w:rPr/>
        <w:t>Precisiones</w:t>
      </w:r>
      <w:r>
        <w:rPr>
          <w:spacing w:val="-2"/>
        </w:rPr>
        <w:t> </w:t>
      </w:r>
      <w:r>
        <w:rPr/>
        <w:t>al</w:t>
      </w:r>
      <w:r>
        <w:rPr>
          <w:spacing w:val="-1"/>
        </w:rPr>
        <w:t> </w:t>
      </w:r>
      <w:r>
        <w:rPr/>
        <w:t>formato</w:t>
      </w:r>
    </w:p>
    <w:p>
      <w:pPr>
        <w:pStyle w:val="ListParagraph"/>
        <w:numPr>
          <w:ilvl w:val="0"/>
          <w:numId w:val="1"/>
        </w:numPr>
        <w:tabs>
          <w:tab w:pos="860" w:val="left" w:leader="none"/>
        </w:tabs>
        <w:spacing w:line="249" w:lineRule="auto" w:before="79" w:after="0"/>
        <w:ind w:left="859" w:right="141" w:hanging="432"/>
        <w:jc w:val="both"/>
        <w:rPr>
          <w:sz w:val="18"/>
        </w:rPr>
      </w:pPr>
      <w:r>
        <w:rPr>
          <w:sz w:val="18"/>
        </w:rPr>
        <w:t>Esquema para establecer la estructura del Calendario del Presupuesto de Egresos base mensual, el</w:t>
      </w:r>
      <w:r>
        <w:rPr>
          <w:spacing w:val="1"/>
          <w:sz w:val="18"/>
        </w:rPr>
        <w:t> </w:t>
      </w:r>
      <w:r>
        <w:rPr>
          <w:sz w:val="18"/>
        </w:rPr>
        <w:t>formato</w:t>
      </w:r>
      <w:r>
        <w:rPr>
          <w:spacing w:val="-1"/>
          <w:sz w:val="18"/>
        </w:rPr>
        <w:t> </w:t>
      </w:r>
      <w:r>
        <w:rPr>
          <w:sz w:val="18"/>
        </w:rPr>
        <w:t>se integra</w:t>
      </w:r>
      <w:r>
        <w:rPr>
          <w:spacing w:val="-2"/>
          <w:sz w:val="18"/>
        </w:rPr>
        <w:t> </w:t>
      </w:r>
      <w:r>
        <w:rPr>
          <w:sz w:val="18"/>
        </w:rPr>
        <w:t>principalmente por:</w:t>
      </w:r>
    </w:p>
    <w:p>
      <w:pPr>
        <w:pStyle w:val="ListParagraph"/>
        <w:numPr>
          <w:ilvl w:val="1"/>
          <w:numId w:val="1"/>
        </w:numPr>
        <w:tabs>
          <w:tab w:pos="1220" w:val="left" w:leader="none"/>
        </w:tabs>
        <w:spacing w:line="249" w:lineRule="auto" w:before="71" w:after="0"/>
        <w:ind w:left="1219" w:right="134" w:hanging="360"/>
        <w:jc w:val="both"/>
        <w:rPr>
          <w:sz w:val="18"/>
        </w:rPr>
      </w:pPr>
      <w:r>
        <w:rPr>
          <w:sz w:val="18"/>
        </w:rPr>
        <w:t>Capítulo de Gasto: detalle de la clasificación por objeto del gasto que reúne en forma sistemática</w:t>
      </w:r>
      <w:r>
        <w:rPr>
          <w:spacing w:val="-47"/>
          <w:sz w:val="18"/>
        </w:rPr>
        <w:t> </w:t>
      </w:r>
      <w:r>
        <w:rPr>
          <w:sz w:val="18"/>
        </w:rPr>
        <w:t>y homogénea todos los conceptos de gastos que realizan los entes obligados para el desarrollo</w:t>
      </w:r>
      <w:r>
        <w:rPr>
          <w:spacing w:val="1"/>
          <w:sz w:val="18"/>
        </w:rPr>
        <w:t> </w:t>
      </w:r>
      <w:r>
        <w:rPr>
          <w:sz w:val="18"/>
        </w:rPr>
        <w:t>de sus actividades, en el marco del Presupuesto de Egresos. Incluir como mínimo al segundo</w:t>
      </w:r>
      <w:r>
        <w:rPr>
          <w:spacing w:val="1"/>
          <w:sz w:val="18"/>
        </w:rPr>
        <w:t> </w:t>
      </w:r>
      <w:r>
        <w:rPr>
          <w:sz w:val="18"/>
        </w:rPr>
        <w:t>nivel</w:t>
      </w:r>
    </w:p>
    <w:p>
      <w:pPr>
        <w:pStyle w:val="ListParagraph"/>
        <w:numPr>
          <w:ilvl w:val="1"/>
          <w:numId w:val="1"/>
        </w:numPr>
        <w:tabs>
          <w:tab w:pos="1220" w:val="left" w:leader="none"/>
        </w:tabs>
        <w:spacing w:line="240" w:lineRule="auto" w:before="75" w:after="0"/>
        <w:ind w:left="1219" w:right="0" w:hanging="361"/>
        <w:jc w:val="both"/>
        <w:rPr>
          <w:sz w:val="18"/>
        </w:rPr>
      </w:pPr>
      <w:r>
        <w:rPr>
          <w:sz w:val="18"/>
        </w:rPr>
        <w:t>Anual:</w:t>
      </w:r>
      <w:r>
        <w:rPr>
          <w:spacing w:val="-4"/>
          <w:sz w:val="18"/>
        </w:rPr>
        <w:t> </w:t>
      </w:r>
      <w:r>
        <w:rPr>
          <w:sz w:val="18"/>
        </w:rPr>
        <w:t>cantidad</w:t>
      </w:r>
      <w:r>
        <w:rPr>
          <w:spacing w:val="-1"/>
          <w:sz w:val="18"/>
        </w:rPr>
        <w:t> </w:t>
      </w:r>
      <w:r>
        <w:rPr>
          <w:sz w:val="18"/>
        </w:rPr>
        <w:t>total</w:t>
      </w:r>
      <w:r>
        <w:rPr>
          <w:spacing w:val="-3"/>
          <w:sz w:val="18"/>
        </w:rPr>
        <w:t> </w:t>
      </w:r>
      <w:r>
        <w:rPr>
          <w:sz w:val="18"/>
        </w:rPr>
        <w:t>del</w:t>
      </w:r>
      <w:r>
        <w:rPr>
          <w:spacing w:val="-3"/>
          <w:sz w:val="18"/>
        </w:rPr>
        <w:t> </w:t>
      </w:r>
      <w:r>
        <w:rPr>
          <w:sz w:val="18"/>
        </w:rPr>
        <w:t>acumulado</w:t>
      </w:r>
      <w:r>
        <w:rPr>
          <w:spacing w:val="-3"/>
          <w:sz w:val="18"/>
        </w:rPr>
        <w:t> </w:t>
      </w:r>
      <w:r>
        <w:rPr>
          <w:sz w:val="18"/>
        </w:rPr>
        <w:t>de</w:t>
      </w:r>
      <w:r>
        <w:rPr>
          <w:spacing w:val="-4"/>
          <w:sz w:val="18"/>
        </w:rPr>
        <w:t> </w:t>
      </w:r>
      <w:r>
        <w:rPr>
          <w:sz w:val="18"/>
        </w:rPr>
        <w:t>los</w:t>
      </w:r>
      <w:r>
        <w:rPr>
          <w:spacing w:val="-3"/>
          <w:sz w:val="18"/>
        </w:rPr>
        <w:t> </w:t>
      </w:r>
      <w:r>
        <w:rPr>
          <w:sz w:val="18"/>
        </w:rPr>
        <w:t>meses.</w:t>
      </w:r>
    </w:p>
    <w:p>
      <w:pPr>
        <w:pStyle w:val="ListParagraph"/>
        <w:numPr>
          <w:ilvl w:val="1"/>
          <w:numId w:val="1"/>
        </w:numPr>
        <w:tabs>
          <w:tab w:pos="1220" w:val="left" w:leader="none"/>
        </w:tabs>
        <w:spacing w:line="240" w:lineRule="auto" w:before="79" w:after="0"/>
        <w:ind w:left="1219" w:right="0" w:hanging="361"/>
        <w:jc w:val="both"/>
        <w:rPr>
          <w:sz w:val="18"/>
        </w:rPr>
      </w:pPr>
      <w:r>
        <w:rPr>
          <w:sz w:val="18"/>
        </w:rPr>
        <w:t>Meses:</w:t>
      </w:r>
      <w:r>
        <w:rPr>
          <w:spacing w:val="-2"/>
          <w:sz w:val="18"/>
        </w:rPr>
        <w:t> </w:t>
      </w:r>
      <w:r>
        <w:rPr>
          <w:sz w:val="18"/>
        </w:rPr>
        <w:t>cantidades</w:t>
      </w:r>
      <w:r>
        <w:rPr>
          <w:spacing w:val="-1"/>
          <w:sz w:val="18"/>
        </w:rPr>
        <w:t> </w:t>
      </w:r>
      <w:r>
        <w:rPr>
          <w:sz w:val="18"/>
        </w:rPr>
        <w:t>correspondientes</w:t>
      </w:r>
      <w:r>
        <w:rPr>
          <w:spacing w:val="-1"/>
          <w:sz w:val="18"/>
        </w:rPr>
        <w:t> </w:t>
      </w:r>
      <w:r>
        <w:rPr>
          <w:sz w:val="18"/>
        </w:rPr>
        <w:t>a</w:t>
      </w:r>
      <w:r>
        <w:rPr>
          <w:spacing w:val="-4"/>
          <w:sz w:val="18"/>
        </w:rPr>
        <w:t> </w:t>
      </w:r>
      <w:r>
        <w:rPr>
          <w:sz w:val="18"/>
        </w:rPr>
        <w:t>cada</w:t>
      </w:r>
      <w:r>
        <w:rPr>
          <w:spacing w:val="-2"/>
          <w:sz w:val="18"/>
        </w:rPr>
        <w:t> </w:t>
      </w:r>
      <w:r>
        <w:rPr>
          <w:sz w:val="18"/>
        </w:rPr>
        <w:t>mes</w:t>
      </w:r>
      <w:r>
        <w:rPr>
          <w:spacing w:val="-3"/>
          <w:sz w:val="18"/>
        </w:rPr>
        <w:t> </w:t>
      </w:r>
      <w:r>
        <w:rPr>
          <w:sz w:val="18"/>
        </w:rPr>
        <w:t>según</w:t>
      </w:r>
      <w:r>
        <w:rPr>
          <w:spacing w:val="-4"/>
          <w:sz w:val="18"/>
        </w:rPr>
        <w:t> </w:t>
      </w:r>
      <w:r>
        <w:rPr>
          <w:sz w:val="18"/>
        </w:rPr>
        <w:t>corresponda.</w:t>
      </w:r>
    </w:p>
    <w:p>
      <w:pPr>
        <w:pStyle w:val="Heading1"/>
        <w:spacing w:before="79"/>
      </w:pPr>
      <w:r>
        <w:rPr/>
        <w:t>Plazo</w:t>
      </w:r>
      <w:r>
        <w:rPr>
          <w:spacing w:val="-2"/>
        </w:rPr>
        <w:t> </w:t>
      </w:r>
      <w:r>
        <w:rPr/>
        <w:t>para</w:t>
      </w:r>
      <w:r>
        <w:rPr>
          <w:spacing w:val="-2"/>
        </w:rPr>
        <w:t> </w:t>
      </w:r>
      <w:r>
        <w:rPr/>
        <w:t>publicación</w:t>
      </w:r>
      <w:r>
        <w:rPr>
          <w:spacing w:val="-4"/>
        </w:rPr>
        <w:t> </w:t>
      </w:r>
      <w:r>
        <w:rPr/>
        <w:t>del</w:t>
      </w:r>
      <w:r>
        <w:rPr>
          <w:spacing w:val="-2"/>
        </w:rPr>
        <w:t> </w:t>
      </w:r>
      <w:r>
        <w:rPr/>
        <w:t>calendario</w:t>
      </w:r>
    </w:p>
    <w:p>
      <w:pPr>
        <w:pStyle w:val="ListParagraph"/>
        <w:numPr>
          <w:ilvl w:val="0"/>
          <w:numId w:val="1"/>
        </w:numPr>
        <w:tabs>
          <w:tab w:pos="860" w:val="left" w:leader="none"/>
        </w:tabs>
        <w:spacing w:line="249" w:lineRule="auto" w:before="78" w:after="0"/>
        <w:ind w:left="859" w:right="145" w:hanging="432"/>
        <w:jc w:val="both"/>
        <w:rPr>
          <w:sz w:val="18"/>
        </w:rPr>
      </w:pPr>
      <w:r>
        <w:rPr>
          <w:sz w:val="18"/>
        </w:rPr>
        <w:t>Los entes obligados deberán publicar a más tardar el ultimo día de enero, en su respectiva página de</w:t>
      </w:r>
      <w:r>
        <w:rPr>
          <w:spacing w:val="-47"/>
          <w:sz w:val="18"/>
        </w:rPr>
        <w:t> </w:t>
      </w:r>
      <w:r>
        <w:rPr>
          <w:sz w:val="18"/>
        </w:rPr>
        <w:t>internet</w:t>
      </w:r>
      <w:r>
        <w:rPr>
          <w:spacing w:val="-1"/>
          <w:sz w:val="18"/>
        </w:rPr>
        <w:t> </w:t>
      </w:r>
      <w:r>
        <w:rPr>
          <w:sz w:val="18"/>
        </w:rPr>
        <w:t>el siguiente</w:t>
      </w:r>
      <w:r>
        <w:rPr>
          <w:spacing w:val="-1"/>
          <w:sz w:val="18"/>
        </w:rPr>
        <w:t> </w:t>
      </w:r>
      <w:r>
        <w:rPr>
          <w:sz w:val="18"/>
        </w:rPr>
        <w:t>formato</w:t>
      </w:r>
      <w:r>
        <w:rPr>
          <w:spacing w:val="-2"/>
          <w:sz w:val="18"/>
        </w:rPr>
        <w:t> </w:t>
      </w:r>
      <w:r>
        <w:rPr>
          <w:sz w:val="18"/>
        </w:rPr>
        <w:t>con relación</w:t>
      </w:r>
      <w:r>
        <w:rPr>
          <w:spacing w:val="-3"/>
          <w:sz w:val="18"/>
        </w:rPr>
        <w:t> </w:t>
      </w:r>
      <w:r>
        <w:rPr>
          <w:sz w:val="18"/>
        </w:rPr>
        <w:t>al Presupuesto de</w:t>
      </w:r>
      <w:r>
        <w:rPr>
          <w:spacing w:val="-3"/>
          <w:sz w:val="18"/>
        </w:rPr>
        <w:t> </w:t>
      </w:r>
      <w:r>
        <w:rPr>
          <w:sz w:val="18"/>
        </w:rPr>
        <w:t>Egresos:</w:t>
      </w:r>
    </w:p>
    <w:p>
      <w:pPr>
        <w:pStyle w:val="BodyText"/>
        <w:spacing w:before="10"/>
        <w:ind w:left="0" w:firstLine="0"/>
        <w:jc w:val="left"/>
        <w:rPr>
          <w:sz w:val="5"/>
        </w:rPr>
      </w:pPr>
    </w:p>
    <w:tbl>
      <w:tblPr>
        <w:tblW w:w="0" w:type="auto"/>
        <w:jc w:val="left"/>
        <w:tblInd w:w="224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817"/>
        <w:gridCol w:w="490"/>
        <w:gridCol w:w="480"/>
        <w:gridCol w:w="490"/>
        <w:gridCol w:w="492"/>
        <w:gridCol w:w="490"/>
        <w:gridCol w:w="492"/>
        <w:gridCol w:w="492"/>
        <w:gridCol w:w="489"/>
        <w:gridCol w:w="542"/>
        <w:gridCol w:w="650"/>
        <w:gridCol w:w="595"/>
        <w:gridCol w:w="624"/>
        <w:gridCol w:w="595"/>
      </w:tblGrid>
      <w:tr>
        <w:trPr>
          <w:trHeight w:val="500" w:hRule="atLeast"/>
        </w:trPr>
        <w:tc>
          <w:tcPr>
            <w:tcW w:w="8738" w:type="dxa"/>
            <w:gridSpan w:val="14"/>
          </w:tcPr>
          <w:p>
            <w:pPr>
              <w:pStyle w:val="TableParagraph"/>
              <w:spacing w:before="52"/>
              <w:ind w:left="2904" w:right="2886"/>
              <w:jc w:val="center"/>
              <w:rPr>
                <w:sz w:val="10"/>
              </w:rPr>
            </w:pPr>
            <w:r>
              <w:rPr>
                <w:sz w:val="10"/>
              </w:rPr>
              <w:t>Entidad</w:t>
            </w:r>
            <w:r>
              <w:rPr>
                <w:spacing w:val="-6"/>
                <w:sz w:val="10"/>
              </w:rPr>
              <w:t> </w:t>
            </w:r>
            <w:r>
              <w:rPr>
                <w:sz w:val="10"/>
              </w:rPr>
              <w:t>Federativa/Municipio</w:t>
            </w:r>
          </w:p>
          <w:p>
            <w:pPr>
              <w:pStyle w:val="TableParagraph"/>
              <w:spacing w:before="8"/>
              <w:rPr>
                <w:sz w:val="11"/>
              </w:rPr>
            </w:pPr>
          </w:p>
          <w:p>
            <w:pPr>
              <w:pStyle w:val="TableParagraph"/>
              <w:ind w:left="2904" w:right="2889"/>
              <w:jc w:val="center"/>
              <w:rPr>
                <w:sz w:val="10"/>
              </w:rPr>
            </w:pPr>
            <w:r>
              <w:rPr>
                <w:sz w:val="10"/>
              </w:rPr>
              <w:t>Calendario</w:t>
            </w:r>
            <w:r>
              <w:rPr>
                <w:spacing w:val="-2"/>
                <w:sz w:val="10"/>
              </w:rPr>
              <w:t> </w:t>
            </w:r>
            <w:r>
              <w:rPr>
                <w:sz w:val="10"/>
              </w:rPr>
              <w:t>de</w:t>
            </w:r>
            <w:r>
              <w:rPr>
                <w:spacing w:val="-2"/>
                <w:sz w:val="10"/>
              </w:rPr>
              <w:t> </w:t>
            </w:r>
            <w:r>
              <w:rPr>
                <w:sz w:val="10"/>
              </w:rPr>
              <w:t>Presupuesto</w:t>
            </w:r>
            <w:r>
              <w:rPr>
                <w:spacing w:val="-1"/>
                <w:sz w:val="10"/>
              </w:rPr>
              <w:t> </w:t>
            </w:r>
            <w:r>
              <w:rPr>
                <w:sz w:val="10"/>
              </w:rPr>
              <w:t>de</w:t>
            </w:r>
            <w:r>
              <w:rPr>
                <w:spacing w:val="-2"/>
                <w:sz w:val="10"/>
              </w:rPr>
              <w:t> </w:t>
            </w:r>
            <w:r>
              <w:rPr>
                <w:sz w:val="10"/>
              </w:rPr>
              <w:t>Egresos</w:t>
            </w:r>
            <w:r>
              <w:rPr>
                <w:spacing w:val="-4"/>
                <w:sz w:val="10"/>
              </w:rPr>
              <w:t> </w:t>
            </w:r>
            <w:r>
              <w:rPr>
                <w:sz w:val="10"/>
              </w:rPr>
              <w:t>del</w:t>
            </w:r>
            <w:r>
              <w:rPr>
                <w:spacing w:val="1"/>
                <w:sz w:val="10"/>
              </w:rPr>
              <w:t> </w:t>
            </w:r>
            <w:r>
              <w:rPr>
                <w:sz w:val="10"/>
              </w:rPr>
              <w:t>Ejercicio</w:t>
            </w:r>
            <w:r>
              <w:rPr>
                <w:spacing w:val="-2"/>
                <w:sz w:val="10"/>
              </w:rPr>
              <w:t> </w:t>
            </w:r>
            <w:r>
              <w:rPr>
                <w:sz w:val="10"/>
              </w:rPr>
              <w:t>Fiscal XXXX</w:t>
            </w:r>
          </w:p>
        </w:tc>
      </w:tr>
      <w:tr>
        <w:trPr>
          <w:trHeight w:val="248" w:hRule="atLeast"/>
        </w:trPr>
        <w:tc>
          <w:tcPr>
            <w:tcW w:w="1817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90" w:type="dxa"/>
          </w:tcPr>
          <w:p>
            <w:pPr>
              <w:pStyle w:val="TableParagraph"/>
              <w:spacing w:before="50"/>
              <w:ind w:left="114"/>
              <w:rPr>
                <w:sz w:val="10"/>
              </w:rPr>
            </w:pPr>
            <w:r>
              <w:rPr>
                <w:sz w:val="10"/>
              </w:rPr>
              <w:t>Anual</w:t>
            </w:r>
          </w:p>
        </w:tc>
        <w:tc>
          <w:tcPr>
            <w:tcW w:w="480" w:type="dxa"/>
          </w:tcPr>
          <w:p>
            <w:pPr>
              <w:pStyle w:val="TableParagraph"/>
              <w:spacing w:before="50"/>
              <w:ind w:left="105"/>
              <w:rPr>
                <w:sz w:val="10"/>
              </w:rPr>
            </w:pPr>
            <w:r>
              <w:rPr>
                <w:sz w:val="10"/>
              </w:rPr>
              <w:t>Enero</w:t>
            </w:r>
          </w:p>
        </w:tc>
        <w:tc>
          <w:tcPr>
            <w:tcW w:w="490" w:type="dxa"/>
          </w:tcPr>
          <w:p>
            <w:pPr>
              <w:pStyle w:val="TableParagraph"/>
              <w:spacing w:before="50"/>
              <w:ind w:left="69"/>
              <w:rPr>
                <w:sz w:val="10"/>
              </w:rPr>
            </w:pPr>
            <w:r>
              <w:rPr>
                <w:sz w:val="10"/>
              </w:rPr>
              <w:t>Febrero</w:t>
            </w:r>
          </w:p>
        </w:tc>
        <w:tc>
          <w:tcPr>
            <w:tcW w:w="492" w:type="dxa"/>
          </w:tcPr>
          <w:p>
            <w:pPr>
              <w:pStyle w:val="TableParagraph"/>
              <w:spacing w:before="50"/>
              <w:ind w:left="104"/>
              <w:rPr>
                <w:sz w:val="10"/>
              </w:rPr>
            </w:pPr>
            <w:r>
              <w:rPr>
                <w:sz w:val="10"/>
              </w:rPr>
              <w:t>Marzo</w:t>
            </w:r>
          </w:p>
        </w:tc>
        <w:tc>
          <w:tcPr>
            <w:tcW w:w="490" w:type="dxa"/>
          </w:tcPr>
          <w:p>
            <w:pPr>
              <w:pStyle w:val="TableParagraph"/>
              <w:spacing w:before="50"/>
              <w:ind w:left="143"/>
              <w:rPr>
                <w:sz w:val="10"/>
              </w:rPr>
            </w:pPr>
            <w:r>
              <w:rPr>
                <w:sz w:val="10"/>
              </w:rPr>
              <w:t>Abril</w:t>
            </w:r>
          </w:p>
        </w:tc>
        <w:tc>
          <w:tcPr>
            <w:tcW w:w="492" w:type="dxa"/>
          </w:tcPr>
          <w:p>
            <w:pPr>
              <w:pStyle w:val="TableParagraph"/>
              <w:spacing w:before="50"/>
              <w:ind w:left="121"/>
              <w:rPr>
                <w:sz w:val="10"/>
              </w:rPr>
            </w:pPr>
            <w:r>
              <w:rPr>
                <w:sz w:val="10"/>
              </w:rPr>
              <w:t>Mayo</w:t>
            </w:r>
          </w:p>
        </w:tc>
        <w:tc>
          <w:tcPr>
            <w:tcW w:w="492" w:type="dxa"/>
          </w:tcPr>
          <w:p>
            <w:pPr>
              <w:pStyle w:val="TableParagraph"/>
              <w:spacing w:before="50"/>
              <w:ind w:left="123"/>
              <w:rPr>
                <w:sz w:val="10"/>
              </w:rPr>
            </w:pPr>
            <w:r>
              <w:rPr>
                <w:sz w:val="10"/>
              </w:rPr>
              <w:t>Junio</w:t>
            </w:r>
          </w:p>
        </w:tc>
        <w:tc>
          <w:tcPr>
            <w:tcW w:w="489" w:type="dxa"/>
          </w:tcPr>
          <w:p>
            <w:pPr>
              <w:pStyle w:val="TableParagraph"/>
              <w:spacing w:before="50"/>
              <w:ind w:left="140"/>
              <w:rPr>
                <w:sz w:val="10"/>
              </w:rPr>
            </w:pPr>
            <w:r>
              <w:rPr>
                <w:sz w:val="10"/>
              </w:rPr>
              <w:t>Julio</w:t>
            </w:r>
          </w:p>
        </w:tc>
        <w:tc>
          <w:tcPr>
            <w:tcW w:w="542" w:type="dxa"/>
          </w:tcPr>
          <w:p>
            <w:pPr>
              <w:pStyle w:val="TableParagraph"/>
              <w:spacing w:before="50"/>
              <w:ind w:left="112"/>
              <w:rPr>
                <w:sz w:val="10"/>
              </w:rPr>
            </w:pPr>
            <w:r>
              <w:rPr>
                <w:sz w:val="10"/>
              </w:rPr>
              <w:t>Agosto</w:t>
            </w:r>
          </w:p>
        </w:tc>
        <w:tc>
          <w:tcPr>
            <w:tcW w:w="650" w:type="dxa"/>
          </w:tcPr>
          <w:p>
            <w:pPr>
              <w:pStyle w:val="TableParagraph"/>
              <w:spacing w:before="50"/>
              <w:ind w:left="69"/>
              <w:rPr>
                <w:sz w:val="10"/>
              </w:rPr>
            </w:pPr>
            <w:r>
              <w:rPr>
                <w:sz w:val="10"/>
              </w:rPr>
              <w:t>Septiembre</w:t>
            </w:r>
          </w:p>
        </w:tc>
        <w:tc>
          <w:tcPr>
            <w:tcW w:w="595" w:type="dxa"/>
          </w:tcPr>
          <w:p>
            <w:pPr>
              <w:pStyle w:val="TableParagraph"/>
              <w:spacing w:before="50"/>
              <w:ind w:left="120"/>
              <w:rPr>
                <w:sz w:val="10"/>
              </w:rPr>
            </w:pPr>
            <w:r>
              <w:rPr>
                <w:sz w:val="10"/>
              </w:rPr>
              <w:t>Octubre</w:t>
            </w:r>
          </w:p>
        </w:tc>
        <w:tc>
          <w:tcPr>
            <w:tcW w:w="624" w:type="dxa"/>
          </w:tcPr>
          <w:p>
            <w:pPr>
              <w:pStyle w:val="TableParagraph"/>
              <w:spacing w:before="50"/>
              <w:ind w:left="70"/>
              <w:rPr>
                <w:sz w:val="10"/>
              </w:rPr>
            </w:pPr>
            <w:r>
              <w:rPr>
                <w:sz w:val="10"/>
              </w:rPr>
              <w:t>Noviembre</w:t>
            </w:r>
          </w:p>
        </w:tc>
        <w:tc>
          <w:tcPr>
            <w:tcW w:w="595" w:type="dxa"/>
            <w:tcBorders>
              <w:bottom w:val="single" w:sz="4" w:space="0" w:color="000000"/>
            </w:tcBorders>
          </w:tcPr>
          <w:p>
            <w:pPr>
              <w:pStyle w:val="TableParagraph"/>
              <w:spacing w:before="50"/>
              <w:ind w:left="70"/>
              <w:rPr>
                <w:sz w:val="10"/>
              </w:rPr>
            </w:pPr>
            <w:r>
              <w:rPr>
                <w:sz w:val="10"/>
              </w:rPr>
              <w:t>Diciembre</w:t>
            </w:r>
          </w:p>
        </w:tc>
      </w:tr>
      <w:tr>
        <w:trPr>
          <w:trHeight w:val="263" w:hRule="atLeast"/>
        </w:trPr>
        <w:tc>
          <w:tcPr>
            <w:tcW w:w="1817" w:type="dxa"/>
            <w:tcBorders>
              <w:bottom w:val="thinThickMediumGap" w:sz="4" w:space="0" w:color="000000"/>
            </w:tcBorders>
          </w:tcPr>
          <w:p>
            <w:pPr>
              <w:pStyle w:val="TableParagraph"/>
              <w:spacing w:before="52"/>
              <w:ind w:left="774" w:right="760"/>
              <w:jc w:val="center"/>
              <w:rPr>
                <w:sz w:val="10"/>
              </w:rPr>
            </w:pPr>
            <w:r>
              <w:rPr>
                <w:sz w:val="10"/>
              </w:rPr>
              <w:t>Total</w:t>
            </w:r>
          </w:p>
        </w:tc>
        <w:tc>
          <w:tcPr>
            <w:tcW w:w="490" w:type="dxa"/>
            <w:tcBorders>
              <w:bottom w:val="thinThickMediumGap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80" w:type="dxa"/>
            <w:tcBorders>
              <w:bottom w:val="thinThickMediumGap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90" w:type="dxa"/>
            <w:tcBorders>
              <w:bottom w:val="thinThickMediumGap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92" w:type="dxa"/>
            <w:tcBorders>
              <w:bottom w:val="thinThickMediumGap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90" w:type="dxa"/>
            <w:tcBorders>
              <w:bottom w:val="thinThickMediumGap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92" w:type="dxa"/>
            <w:tcBorders>
              <w:bottom w:val="thinThickMediumGap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92" w:type="dxa"/>
            <w:tcBorders>
              <w:bottom w:val="thinThickMediumGap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89" w:type="dxa"/>
            <w:tcBorders>
              <w:bottom w:val="thinThickMediumGap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42" w:type="dxa"/>
            <w:tcBorders>
              <w:bottom w:val="thinThickMediumGap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50" w:type="dxa"/>
            <w:tcBorders>
              <w:bottom w:val="thinThickMediumGap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95" w:type="dxa"/>
            <w:tcBorders>
              <w:bottom w:val="thinThickMediumGap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24" w:type="dxa"/>
            <w:tcBorders>
              <w:bottom w:val="thinThickMediumGap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95" w:type="dxa"/>
            <w:tcBorders>
              <w:top w:val="single" w:sz="4" w:space="0" w:color="000000"/>
              <w:bottom w:val="thinThickMediumGap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>
        <w:trPr>
          <w:trHeight w:val="2863" w:hRule="atLeast"/>
        </w:trPr>
        <w:tc>
          <w:tcPr>
            <w:tcW w:w="1817" w:type="dxa"/>
            <w:tcBorders>
              <w:top w:val="thickThinMediumGap" w:sz="4" w:space="0" w:color="000000"/>
              <w:bottom w:val="nil"/>
            </w:tcBorders>
          </w:tcPr>
          <w:p>
            <w:pPr>
              <w:pStyle w:val="TableParagraph"/>
              <w:spacing w:before="59"/>
              <w:ind w:left="69"/>
              <w:rPr>
                <w:sz w:val="10"/>
              </w:rPr>
            </w:pPr>
            <w:r>
              <w:rPr>
                <w:sz w:val="10"/>
              </w:rPr>
              <w:t>Servicios</w:t>
            </w:r>
            <w:r>
              <w:rPr>
                <w:spacing w:val="-4"/>
                <w:sz w:val="10"/>
              </w:rPr>
              <w:t> </w:t>
            </w:r>
            <w:r>
              <w:rPr>
                <w:sz w:val="10"/>
              </w:rPr>
              <w:t>Personales</w:t>
            </w:r>
          </w:p>
          <w:p>
            <w:pPr>
              <w:pStyle w:val="TableParagraph"/>
              <w:spacing w:before="5"/>
              <w:rPr>
                <w:sz w:val="11"/>
              </w:rPr>
            </w:pPr>
          </w:p>
          <w:p>
            <w:pPr>
              <w:pStyle w:val="TableParagraph"/>
              <w:spacing w:line="369" w:lineRule="auto" w:before="1"/>
              <w:ind w:left="285" w:right="44"/>
              <w:rPr>
                <w:sz w:val="10"/>
              </w:rPr>
            </w:pPr>
            <w:r>
              <w:rPr>
                <w:sz w:val="10"/>
              </w:rPr>
              <w:t>Remuneraciones</w:t>
            </w:r>
            <w:r>
              <w:rPr>
                <w:spacing w:val="5"/>
                <w:sz w:val="10"/>
              </w:rPr>
              <w:t> </w:t>
            </w:r>
            <w:r>
              <w:rPr>
                <w:sz w:val="10"/>
              </w:rPr>
              <w:t>al</w:t>
            </w:r>
            <w:r>
              <w:rPr>
                <w:spacing w:val="10"/>
                <w:sz w:val="10"/>
              </w:rPr>
              <w:t> </w:t>
            </w:r>
            <w:r>
              <w:rPr>
                <w:sz w:val="10"/>
              </w:rPr>
              <w:t>Personal</w:t>
            </w:r>
            <w:r>
              <w:rPr>
                <w:spacing w:val="9"/>
                <w:sz w:val="10"/>
              </w:rPr>
              <w:t> </w:t>
            </w:r>
            <w:r>
              <w:rPr>
                <w:sz w:val="10"/>
              </w:rPr>
              <w:t>de</w:t>
            </w:r>
            <w:r>
              <w:rPr>
                <w:spacing w:val="-25"/>
                <w:sz w:val="10"/>
              </w:rPr>
              <w:t> </w:t>
            </w:r>
            <w:r>
              <w:rPr>
                <w:sz w:val="10"/>
              </w:rPr>
              <w:t>Carácter</w:t>
            </w:r>
            <w:r>
              <w:rPr>
                <w:spacing w:val="-1"/>
                <w:sz w:val="10"/>
              </w:rPr>
              <w:t> </w:t>
            </w:r>
            <w:r>
              <w:rPr>
                <w:sz w:val="10"/>
              </w:rPr>
              <w:t>Permanente</w:t>
            </w:r>
          </w:p>
          <w:p>
            <w:pPr>
              <w:pStyle w:val="TableParagraph"/>
              <w:spacing w:line="369" w:lineRule="auto" w:before="68"/>
              <w:ind w:left="285" w:right="44"/>
              <w:rPr>
                <w:sz w:val="10"/>
              </w:rPr>
            </w:pPr>
            <w:r>
              <w:rPr>
                <w:sz w:val="10"/>
              </w:rPr>
              <w:t>Remuneraciones</w:t>
            </w:r>
            <w:r>
              <w:rPr>
                <w:spacing w:val="5"/>
                <w:sz w:val="10"/>
              </w:rPr>
              <w:t> </w:t>
            </w:r>
            <w:r>
              <w:rPr>
                <w:sz w:val="10"/>
              </w:rPr>
              <w:t>al</w:t>
            </w:r>
            <w:r>
              <w:rPr>
                <w:spacing w:val="10"/>
                <w:sz w:val="10"/>
              </w:rPr>
              <w:t> </w:t>
            </w:r>
            <w:r>
              <w:rPr>
                <w:sz w:val="10"/>
              </w:rPr>
              <w:t>Personal</w:t>
            </w:r>
            <w:r>
              <w:rPr>
                <w:spacing w:val="9"/>
                <w:sz w:val="10"/>
              </w:rPr>
              <w:t> </w:t>
            </w:r>
            <w:r>
              <w:rPr>
                <w:sz w:val="10"/>
              </w:rPr>
              <w:t>de</w:t>
            </w:r>
            <w:r>
              <w:rPr>
                <w:spacing w:val="-25"/>
                <w:sz w:val="10"/>
              </w:rPr>
              <w:t> </w:t>
            </w:r>
            <w:r>
              <w:rPr>
                <w:sz w:val="10"/>
              </w:rPr>
              <w:t>Carácter</w:t>
            </w:r>
            <w:r>
              <w:rPr>
                <w:spacing w:val="-1"/>
                <w:sz w:val="10"/>
              </w:rPr>
              <w:t> </w:t>
            </w:r>
            <w:r>
              <w:rPr>
                <w:sz w:val="10"/>
              </w:rPr>
              <w:t>Transitorio</w:t>
            </w:r>
          </w:p>
          <w:p>
            <w:pPr>
              <w:pStyle w:val="TableParagraph"/>
              <w:spacing w:line="369" w:lineRule="auto" w:before="71"/>
              <w:ind w:left="285"/>
              <w:rPr>
                <w:sz w:val="10"/>
              </w:rPr>
            </w:pPr>
            <w:r>
              <w:rPr>
                <w:sz w:val="10"/>
              </w:rPr>
              <w:t>Remuneraciones</w:t>
            </w:r>
            <w:r>
              <w:rPr>
                <w:spacing w:val="13"/>
                <w:sz w:val="10"/>
              </w:rPr>
              <w:t> </w:t>
            </w:r>
            <w:r>
              <w:rPr>
                <w:sz w:val="10"/>
              </w:rPr>
              <w:t>Adicionales</w:t>
            </w:r>
            <w:r>
              <w:rPr>
                <w:spacing w:val="13"/>
                <w:sz w:val="10"/>
              </w:rPr>
              <w:t> </w:t>
            </w:r>
            <w:r>
              <w:rPr>
                <w:sz w:val="10"/>
              </w:rPr>
              <w:t>y</w:t>
            </w:r>
            <w:r>
              <w:rPr>
                <w:spacing w:val="-25"/>
                <w:sz w:val="10"/>
              </w:rPr>
              <w:t> </w:t>
            </w:r>
            <w:r>
              <w:rPr>
                <w:sz w:val="10"/>
              </w:rPr>
              <w:t>Especiales</w:t>
            </w:r>
          </w:p>
          <w:p>
            <w:pPr>
              <w:pStyle w:val="TableParagraph"/>
              <w:spacing w:before="68"/>
              <w:ind w:left="285"/>
              <w:rPr>
                <w:sz w:val="10"/>
              </w:rPr>
            </w:pPr>
            <w:r>
              <w:rPr>
                <w:sz w:val="10"/>
              </w:rPr>
              <w:t>Seguridad</w:t>
            </w:r>
            <w:r>
              <w:rPr>
                <w:spacing w:val="-2"/>
                <w:sz w:val="10"/>
              </w:rPr>
              <w:t> </w:t>
            </w:r>
            <w:r>
              <w:rPr>
                <w:sz w:val="10"/>
              </w:rPr>
              <w:t>Social</w:t>
            </w:r>
          </w:p>
          <w:p>
            <w:pPr>
              <w:pStyle w:val="TableParagraph"/>
              <w:spacing w:before="3"/>
              <w:rPr>
                <w:sz w:val="11"/>
              </w:rPr>
            </w:pPr>
          </w:p>
          <w:p>
            <w:pPr>
              <w:pStyle w:val="TableParagraph"/>
              <w:spacing w:line="369" w:lineRule="auto" w:before="1"/>
              <w:ind w:left="285"/>
              <w:rPr>
                <w:sz w:val="10"/>
              </w:rPr>
            </w:pPr>
            <w:r>
              <w:rPr>
                <w:sz w:val="10"/>
              </w:rPr>
              <w:t>Otras</w:t>
            </w:r>
            <w:r>
              <w:rPr>
                <w:spacing w:val="9"/>
                <w:sz w:val="10"/>
              </w:rPr>
              <w:t> </w:t>
            </w:r>
            <w:r>
              <w:rPr>
                <w:sz w:val="10"/>
              </w:rPr>
              <w:t>Prestaciones</w:t>
            </w:r>
            <w:r>
              <w:rPr>
                <w:spacing w:val="9"/>
                <w:sz w:val="10"/>
              </w:rPr>
              <w:t> </w:t>
            </w:r>
            <w:r>
              <w:rPr>
                <w:sz w:val="10"/>
              </w:rPr>
              <w:t>Sociales</w:t>
            </w:r>
            <w:r>
              <w:rPr>
                <w:spacing w:val="9"/>
                <w:sz w:val="10"/>
              </w:rPr>
              <w:t> </w:t>
            </w:r>
            <w:r>
              <w:rPr>
                <w:sz w:val="10"/>
              </w:rPr>
              <w:t>y</w:t>
            </w:r>
            <w:r>
              <w:rPr>
                <w:spacing w:val="-25"/>
                <w:sz w:val="10"/>
              </w:rPr>
              <w:t> </w:t>
            </w:r>
            <w:r>
              <w:rPr>
                <w:sz w:val="10"/>
              </w:rPr>
              <w:t>Económicas</w:t>
            </w:r>
          </w:p>
          <w:p>
            <w:pPr>
              <w:pStyle w:val="TableParagraph"/>
              <w:spacing w:before="68"/>
              <w:ind w:left="285"/>
              <w:rPr>
                <w:sz w:val="10"/>
              </w:rPr>
            </w:pPr>
            <w:r>
              <w:rPr>
                <w:sz w:val="10"/>
              </w:rPr>
              <w:t>Previsiones</w:t>
            </w:r>
          </w:p>
          <w:p>
            <w:pPr>
              <w:pStyle w:val="TableParagraph"/>
              <w:spacing w:line="170" w:lineRule="atLeast" w:before="77"/>
              <w:ind w:left="285" w:right="39"/>
              <w:rPr>
                <w:sz w:val="10"/>
              </w:rPr>
            </w:pPr>
            <w:r>
              <w:rPr>
                <w:sz w:val="10"/>
              </w:rPr>
              <w:t>Pago</w:t>
            </w:r>
            <w:r>
              <w:rPr>
                <w:spacing w:val="6"/>
                <w:sz w:val="10"/>
              </w:rPr>
              <w:t> </w:t>
            </w:r>
            <w:r>
              <w:rPr>
                <w:sz w:val="10"/>
              </w:rPr>
              <w:t>de</w:t>
            </w:r>
            <w:r>
              <w:rPr>
                <w:spacing w:val="7"/>
                <w:sz w:val="10"/>
              </w:rPr>
              <w:t> </w:t>
            </w:r>
            <w:r>
              <w:rPr>
                <w:sz w:val="10"/>
              </w:rPr>
              <w:t>Estímulos</w:t>
            </w:r>
            <w:r>
              <w:rPr>
                <w:spacing w:val="4"/>
                <w:sz w:val="10"/>
              </w:rPr>
              <w:t> </w:t>
            </w:r>
            <w:r>
              <w:rPr>
                <w:sz w:val="10"/>
              </w:rPr>
              <w:t>a</w:t>
            </w:r>
            <w:r>
              <w:rPr>
                <w:spacing w:val="7"/>
                <w:sz w:val="10"/>
              </w:rPr>
              <w:t> </w:t>
            </w:r>
            <w:r>
              <w:rPr>
                <w:sz w:val="10"/>
              </w:rPr>
              <w:t>Servidores</w:t>
            </w:r>
            <w:r>
              <w:rPr>
                <w:spacing w:val="-25"/>
                <w:sz w:val="10"/>
              </w:rPr>
              <w:t> </w:t>
            </w:r>
            <w:r>
              <w:rPr>
                <w:sz w:val="10"/>
              </w:rPr>
              <w:t>Públicos</w:t>
            </w:r>
          </w:p>
        </w:tc>
        <w:tc>
          <w:tcPr>
            <w:tcW w:w="490" w:type="dxa"/>
            <w:tcBorders>
              <w:top w:val="thickThinMediumGap" w:sz="4" w:space="0" w:color="000000"/>
              <w:bottom w:val="nil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80" w:type="dxa"/>
            <w:tcBorders>
              <w:top w:val="thickThinMediumGap" w:sz="4" w:space="0" w:color="000000"/>
              <w:bottom w:val="nil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90" w:type="dxa"/>
            <w:tcBorders>
              <w:top w:val="thickThinMediumGap" w:sz="4" w:space="0" w:color="000000"/>
              <w:bottom w:val="nil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92" w:type="dxa"/>
            <w:tcBorders>
              <w:top w:val="thickThinMediumGap" w:sz="4" w:space="0" w:color="000000"/>
              <w:bottom w:val="nil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90" w:type="dxa"/>
            <w:tcBorders>
              <w:top w:val="thickThinMediumGap" w:sz="4" w:space="0" w:color="000000"/>
              <w:bottom w:val="nil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92" w:type="dxa"/>
            <w:tcBorders>
              <w:top w:val="thickThinMediumGap" w:sz="4" w:space="0" w:color="000000"/>
              <w:bottom w:val="nil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92" w:type="dxa"/>
            <w:tcBorders>
              <w:top w:val="thickThinMediumGap" w:sz="4" w:space="0" w:color="000000"/>
              <w:bottom w:val="nil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89" w:type="dxa"/>
            <w:tcBorders>
              <w:top w:val="thickThinMediumGap" w:sz="4" w:space="0" w:color="000000"/>
              <w:bottom w:val="nil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42" w:type="dxa"/>
            <w:tcBorders>
              <w:top w:val="thickThinMediumGap" w:sz="4" w:space="0" w:color="000000"/>
              <w:bottom w:val="nil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50" w:type="dxa"/>
            <w:tcBorders>
              <w:top w:val="thickThinMediumGap" w:sz="4" w:space="0" w:color="000000"/>
              <w:bottom w:val="nil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95" w:type="dxa"/>
            <w:tcBorders>
              <w:top w:val="thickThinMediumGap" w:sz="4" w:space="0" w:color="000000"/>
              <w:bottom w:val="nil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24" w:type="dxa"/>
            <w:tcBorders>
              <w:top w:val="thickThinMediumGap" w:sz="4" w:space="0" w:color="000000"/>
              <w:bottom w:val="nil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95" w:type="dxa"/>
            <w:tcBorders>
              <w:top w:val="thickThinMediumGap" w:sz="4" w:space="0" w:color="000000"/>
              <w:bottom w:val="nil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>
      <w:pPr>
        <w:spacing w:after="0"/>
        <w:rPr>
          <w:rFonts w:ascii="Times New Roman"/>
          <w:sz w:val="16"/>
        </w:rPr>
        <w:sectPr>
          <w:type w:val="continuous"/>
          <w:pgSz w:w="12240" w:h="15840"/>
          <w:pgMar w:top="1200" w:bottom="280" w:left="1560" w:right="1560"/>
        </w:sectPr>
      </w:pPr>
    </w:p>
    <w:tbl>
      <w:tblPr>
        <w:tblW w:w="0" w:type="auto"/>
        <w:jc w:val="left"/>
        <w:tblInd w:w="22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817"/>
        <w:gridCol w:w="490"/>
        <w:gridCol w:w="480"/>
        <w:gridCol w:w="490"/>
        <w:gridCol w:w="492"/>
        <w:gridCol w:w="490"/>
        <w:gridCol w:w="492"/>
        <w:gridCol w:w="492"/>
        <w:gridCol w:w="489"/>
        <w:gridCol w:w="542"/>
        <w:gridCol w:w="650"/>
        <w:gridCol w:w="595"/>
        <w:gridCol w:w="624"/>
        <w:gridCol w:w="595"/>
      </w:tblGrid>
      <w:tr>
        <w:trPr>
          <w:trHeight w:val="13294" w:hRule="atLeast"/>
        </w:trPr>
        <w:tc>
          <w:tcPr>
            <w:tcW w:w="1817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39"/>
              <w:ind w:left="69"/>
              <w:rPr>
                <w:sz w:val="10"/>
              </w:rPr>
            </w:pPr>
            <w:r>
              <w:rPr>
                <w:sz w:val="10"/>
              </w:rPr>
              <w:t>Materiales</w:t>
            </w:r>
            <w:r>
              <w:rPr>
                <w:spacing w:val="-4"/>
                <w:sz w:val="10"/>
              </w:rPr>
              <w:t> </w:t>
            </w:r>
            <w:r>
              <w:rPr>
                <w:sz w:val="10"/>
              </w:rPr>
              <w:t>y</w:t>
            </w:r>
            <w:r>
              <w:rPr>
                <w:spacing w:val="-1"/>
                <w:sz w:val="10"/>
              </w:rPr>
              <w:t> </w:t>
            </w:r>
            <w:r>
              <w:rPr>
                <w:sz w:val="10"/>
              </w:rPr>
              <w:t>Suministros</w:t>
            </w:r>
          </w:p>
          <w:p>
            <w:pPr>
              <w:pStyle w:val="TableParagraph"/>
              <w:spacing w:before="6"/>
              <w:rPr>
                <w:sz w:val="11"/>
              </w:rPr>
            </w:pPr>
          </w:p>
          <w:p>
            <w:pPr>
              <w:pStyle w:val="TableParagraph"/>
              <w:spacing w:line="374" w:lineRule="auto"/>
              <w:ind w:left="285" w:right="48"/>
              <w:jc w:val="both"/>
              <w:rPr>
                <w:sz w:val="10"/>
              </w:rPr>
            </w:pPr>
            <w:r>
              <w:rPr>
                <w:sz w:val="10"/>
              </w:rPr>
              <w:t>Materiales</w:t>
            </w:r>
            <w:r>
              <w:rPr>
                <w:spacing w:val="1"/>
                <w:sz w:val="10"/>
              </w:rPr>
              <w:t> </w:t>
            </w:r>
            <w:r>
              <w:rPr>
                <w:sz w:val="10"/>
              </w:rPr>
              <w:t>de</w:t>
            </w:r>
            <w:r>
              <w:rPr>
                <w:spacing w:val="1"/>
                <w:sz w:val="10"/>
              </w:rPr>
              <w:t> </w:t>
            </w:r>
            <w:r>
              <w:rPr>
                <w:sz w:val="10"/>
              </w:rPr>
              <w:t>Administración,</w:t>
            </w:r>
            <w:r>
              <w:rPr>
                <w:spacing w:val="1"/>
                <w:sz w:val="10"/>
              </w:rPr>
              <w:t> </w:t>
            </w:r>
            <w:r>
              <w:rPr>
                <w:sz w:val="10"/>
              </w:rPr>
              <w:t>Emisión</w:t>
            </w:r>
            <w:r>
              <w:rPr>
                <w:spacing w:val="1"/>
                <w:sz w:val="10"/>
              </w:rPr>
              <w:t> </w:t>
            </w:r>
            <w:r>
              <w:rPr>
                <w:sz w:val="10"/>
              </w:rPr>
              <w:t>de</w:t>
            </w:r>
            <w:r>
              <w:rPr>
                <w:spacing w:val="1"/>
                <w:sz w:val="10"/>
              </w:rPr>
              <w:t> </w:t>
            </w:r>
            <w:r>
              <w:rPr>
                <w:sz w:val="10"/>
              </w:rPr>
              <w:t>Documentos</w:t>
            </w:r>
            <w:r>
              <w:rPr>
                <w:spacing w:val="1"/>
                <w:sz w:val="10"/>
              </w:rPr>
              <w:t> </w:t>
            </w:r>
            <w:r>
              <w:rPr>
                <w:sz w:val="10"/>
              </w:rPr>
              <w:t>y</w:t>
            </w:r>
            <w:r>
              <w:rPr>
                <w:spacing w:val="1"/>
                <w:sz w:val="10"/>
              </w:rPr>
              <w:t> </w:t>
            </w:r>
            <w:r>
              <w:rPr>
                <w:sz w:val="10"/>
              </w:rPr>
              <w:t>Artículos</w:t>
            </w:r>
            <w:r>
              <w:rPr>
                <w:spacing w:val="-3"/>
                <w:sz w:val="10"/>
              </w:rPr>
              <w:t> </w:t>
            </w:r>
            <w:r>
              <w:rPr>
                <w:sz w:val="10"/>
              </w:rPr>
              <w:t>Oficiales</w:t>
            </w:r>
          </w:p>
          <w:p>
            <w:pPr>
              <w:pStyle w:val="TableParagraph"/>
              <w:spacing w:before="65"/>
              <w:ind w:left="285"/>
              <w:jc w:val="both"/>
              <w:rPr>
                <w:sz w:val="10"/>
              </w:rPr>
            </w:pPr>
            <w:r>
              <w:rPr>
                <w:sz w:val="10"/>
              </w:rPr>
              <w:t>Alimentos</w:t>
            </w:r>
            <w:r>
              <w:rPr>
                <w:spacing w:val="-3"/>
                <w:sz w:val="10"/>
              </w:rPr>
              <w:t> </w:t>
            </w:r>
            <w:r>
              <w:rPr>
                <w:sz w:val="10"/>
              </w:rPr>
              <w:t>y</w:t>
            </w:r>
            <w:r>
              <w:rPr>
                <w:spacing w:val="-1"/>
                <w:sz w:val="10"/>
              </w:rPr>
              <w:t> </w:t>
            </w:r>
            <w:r>
              <w:rPr>
                <w:sz w:val="10"/>
              </w:rPr>
              <w:t>Utensilios</w:t>
            </w:r>
          </w:p>
          <w:p>
            <w:pPr>
              <w:pStyle w:val="TableParagraph"/>
              <w:spacing w:before="3"/>
              <w:rPr>
                <w:sz w:val="11"/>
              </w:rPr>
            </w:pPr>
          </w:p>
          <w:p>
            <w:pPr>
              <w:pStyle w:val="TableParagraph"/>
              <w:spacing w:line="369" w:lineRule="auto"/>
              <w:ind w:left="285" w:right="50"/>
              <w:jc w:val="both"/>
              <w:rPr>
                <w:sz w:val="10"/>
              </w:rPr>
            </w:pPr>
            <w:r>
              <w:rPr>
                <w:sz w:val="10"/>
              </w:rPr>
              <w:t>Materias Primas y Materiales de</w:t>
            </w:r>
            <w:r>
              <w:rPr>
                <w:spacing w:val="1"/>
                <w:sz w:val="10"/>
              </w:rPr>
              <w:t> </w:t>
            </w:r>
            <w:r>
              <w:rPr>
                <w:sz w:val="10"/>
              </w:rPr>
              <w:t>Producción</w:t>
            </w:r>
            <w:r>
              <w:rPr>
                <w:spacing w:val="-1"/>
                <w:sz w:val="10"/>
              </w:rPr>
              <w:t> </w:t>
            </w:r>
            <w:r>
              <w:rPr>
                <w:sz w:val="10"/>
              </w:rPr>
              <w:t>y</w:t>
            </w:r>
            <w:r>
              <w:rPr>
                <w:spacing w:val="-3"/>
                <w:sz w:val="10"/>
              </w:rPr>
              <w:t> </w:t>
            </w:r>
            <w:r>
              <w:rPr>
                <w:sz w:val="10"/>
              </w:rPr>
              <w:t>Comercialización</w:t>
            </w:r>
          </w:p>
          <w:p>
            <w:pPr>
              <w:pStyle w:val="TableParagraph"/>
              <w:spacing w:line="369" w:lineRule="auto" w:before="71"/>
              <w:ind w:left="285" w:right="50"/>
              <w:jc w:val="both"/>
              <w:rPr>
                <w:sz w:val="10"/>
              </w:rPr>
            </w:pPr>
            <w:r>
              <w:rPr>
                <w:sz w:val="10"/>
              </w:rPr>
              <w:t>Materiales</w:t>
            </w:r>
            <w:r>
              <w:rPr>
                <w:spacing w:val="1"/>
                <w:sz w:val="10"/>
              </w:rPr>
              <w:t> </w:t>
            </w:r>
            <w:r>
              <w:rPr>
                <w:sz w:val="10"/>
              </w:rPr>
              <w:t>y</w:t>
            </w:r>
            <w:r>
              <w:rPr>
                <w:spacing w:val="1"/>
                <w:sz w:val="10"/>
              </w:rPr>
              <w:t> </w:t>
            </w:r>
            <w:r>
              <w:rPr>
                <w:sz w:val="10"/>
              </w:rPr>
              <w:t>Artículos</w:t>
            </w:r>
            <w:r>
              <w:rPr>
                <w:spacing w:val="1"/>
                <w:sz w:val="10"/>
              </w:rPr>
              <w:t> </w:t>
            </w:r>
            <w:r>
              <w:rPr>
                <w:sz w:val="10"/>
              </w:rPr>
              <w:t>de</w:t>
            </w:r>
            <w:r>
              <w:rPr>
                <w:spacing w:val="1"/>
                <w:sz w:val="10"/>
              </w:rPr>
              <w:t> </w:t>
            </w:r>
            <w:r>
              <w:rPr>
                <w:sz w:val="10"/>
              </w:rPr>
              <w:t>Construcción</w:t>
            </w:r>
            <w:r>
              <w:rPr>
                <w:spacing w:val="-1"/>
                <w:sz w:val="10"/>
              </w:rPr>
              <w:t> </w:t>
            </w:r>
            <w:r>
              <w:rPr>
                <w:sz w:val="10"/>
              </w:rPr>
              <w:t>y de</w:t>
            </w:r>
            <w:r>
              <w:rPr>
                <w:spacing w:val="-1"/>
                <w:sz w:val="10"/>
              </w:rPr>
              <w:t> </w:t>
            </w:r>
            <w:r>
              <w:rPr>
                <w:sz w:val="10"/>
              </w:rPr>
              <w:t>Reparación</w:t>
            </w:r>
          </w:p>
          <w:p>
            <w:pPr>
              <w:pStyle w:val="TableParagraph"/>
              <w:tabs>
                <w:tab w:pos="1293" w:val="left" w:leader="none"/>
              </w:tabs>
              <w:spacing w:line="369" w:lineRule="auto" w:before="68"/>
              <w:ind w:left="285" w:right="49"/>
              <w:jc w:val="both"/>
              <w:rPr>
                <w:sz w:val="10"/>
              </w:rPr>
            </w:pPr>
            <w:r>
              <w:rPr>
                <w:sz w:val="10"/>
              </w:rPr>
              <w:t>Productos</w:t>
              <w:tab/>
            </w:r>
            <w:r>
              <w:rPr>
                <w:spacing w:val="-1"/>
                <w:sz w:val="10"/>
              </w:rPr>
              <w:t>Químicos,</w:t>
            </w:r>
            <w:r>
              <w:rPr>
                <w:spacing w:val="-26"/>
                <w:sz w:val="10"/>
              </w:rPr>
              <w:t> </w:t>
            </w:r>
            <w:r>
              <w:rPr>
                <w:sz w:val="10"/>
              </w:rPr>
              <w:t>Farmacéuticos</w:t>
            </w:r>
            <w:r>
              <w:rPr>
                <w:spacing w:val="-3"/>
                <w:sz w:val="10"/>
              </w:rPr>
              <w:t> </w:t>
            </w:r>
            <w:r>
              <w:rPr>
                <w:sz w:val="10"/>
              </w:rPr>
              <w:t>y de</w:t>
            </w:r>
            <w:r>
              <w:rPr>
                <w:spacing w:val="-1"/>
                <w:sz w:val="10"/>
              </w:rPr>
              <w:t> </w:t>
            </w:r>
            <w:r>
              <w:rPr>
                <w:sz w:val="10"/>
              </w:rPr>
              <w:t>Laboratorio</w:t>
            </w:r>
          </w:p>
          <w:p>
            <w:pPr>
              <w:pStyle w:val="TableParagraph"/>
              <w:spacing w:line="369" w:lineRule="auto" w:before="70"/>
              <w:ind w:left="285" w:right="51"/>
              <w:jc w:val="both"/>
              <w:rPr>
                <w:sz w:val="10"/>
              </w:rPr>
            </w:pPr>
            <w:r>
              <w:rPr>
                <w:sz w:val="10"/>
              </w:rPr>
              <w:t>Combustibles,</w:t>
            </w:r>
            <w:r>
              <w:rPr>
                <w:spacing w:val="1"/>
                <w:sz w:val="10"/>
              </w:rPr>
              <w:t> </w:t>
            </w:r>
            <w:r>
              <w:rPr>
                <w:sz w:val="10"/>
              </w:rPr>
              <w:t>Lubricantes</w:t>
            </w:r>
            <w:r>
              <w:rPr>
                <w:spacing w:val="1"/>
                <w:sz w:val="10"/>
              </w:rPr>
              <w:t> </w:t>
            </w:r>
            <w:r>
              <w:rPr>
                <w:sz w:val="10"/>
              </w:rPr>
              <w:t>y</w:t>
            </w:r>
            <w:r>
              <w:rPr>
                <w:spacing w:val="1"/>
                <w:sz w:val="10"/>
              </w:rPr>
              <w:t> </w:t>
            </w:r>
            <w:r>
              <w:rPr>
                <w:sz w:val="10"/>
              </w:rPr>
              <w:t>Aditivos</w:t>
            </w:r>
          </w:p>
          <w:p>
            <w:pPr>
              <w:pStyle w:val="TableParagraph"/>
              <w:spacing w:line="372" w:lineRule="auto" w:before="71"/>
              <w:ind w:left="285" w:right="48"/>
              <w:jc w:val="both"/>
              <w:rPr>
                <w:sz w:val="10"/>
              </w:rPr>
            </w:pPr>
            <w:r>
              <w:rPr>
                <w:sz w:val="10"/>
              </w:rPr>
              <w:t>Vestuario, Blancos, Prendas de</w:t>
            </w:r>
            <w:r>
              <w:rPr>
                <w:spacing w:val="1"/>
                <w:sz w:val="10"/>
              </w:rPr>
              <w:t> </w:t>
            </w:r>
            <w:r>
              <w:rPr>
                <w:sz w:val="10"/>
              </w:rPr>
              <w:t>Protección</w:t>
            </w:r>
            <w:r>
              <w:rPr>
                <w:spacing w:val="1"/>
                <w:sz w:val="10"/>
              </w:rPr>
              <w:t> </w:t>
            </w:r>
            <w:r>
              <w:rPr>
                <w:sz w:val="10"/>
              </w:rPr>
              <w:t>y</w:t>
            </w:r>
            <w:r>
              <w:rPr>
                <w:spacing w:val="28"/>
                <w:sz w:val="10"/>
              </w:rPr>
              <w:t> </w:t>
            </w:r>
            <w:r>
              <w:rPr>
                <w:sz w:val="10"/>
              </w:rPr>
              <w:t>Artículos</w:t>
            </w:r>
            <w:r>
              <w:rPr>
                <w:spacing w:val="1"/>
                <w:sz w:val="10"/>
              </w:rPr>
              <w:t> </w:t>
            </w:r>
            <w:r>
              <w:rPr>
                <w:sz w:val="10"/>
              </w:rPr>
              <w:t>Deportivos</w:t>
            </w:r>
          </w:p>
          <w:p>
            <w:pPr>
              <w:pStyle w:val="TableParagraph"/>
              <w:spacing w:line="369" w:lineRule="auto" w:before="68"/>
              <w:ind w:left="285" w:right="53"/>
              <w:jc w:val="both"/>
              <w:rPr>
                <w:sz w:val="10"/>
              </w:rPr>
            </w:pPr>
            <w:r>
              <w:rPr>
                <w:sz w:val="10"/>
              </w:rPr>
              <w:t>Materiales</w:t>
            </w:r>
            <w:r>
              <w:rPr>
                <w:spacing w:val="1"/>
                <w:sz w:val="10"/>
              </w:rPr>
              <w:t> </w:t>
            </w:r>
            <w:r>
              <w:rPr>
                <w:sz w:val="10"/>
              </w:rPr>
              <w:t>y</w:t>
            </w:r>
            <w:r>
              <w:rPr>
                <w:spacing w:val="1"/>
                <w:sz w:val="10"/>
              </w:rPr>
              <w:t> </w:t>
            </w:r>
            <w:r>
              <w:rPr>
                <w:sz w:val="10"/>
              </w:rPr>
              <w:t>Suministros</w:t>
            </w:r>
            <w:r>
              <w:rPr>
                <w:spacing w:val="1"/>
                <w:sz w:val="10"/>
              </w:rPr>
              <w:t> </w:t>
            </w:r>
            <w:r>
              <w:rPr>
                <w:sz w:val="10"/>
              </w:rPr>
              <w:t>para</w:t>
            </w:r>
            <w:r>
              <w:rPr>
                <w:spacing w:val="1"/>
                <w:sz w:val="10"/>
              </w:rPr>
              <w:t> </w:t>
            </w:r>
            <w:r>
              <w:rPr>
                <w:sz w:val="10"/>
              </w:rPr>
              <w:t>Seguridad</w:t>
            </w:r>
          </w:p>
          <w:p>
            <w:pPr>
              <w:pStyle w:val="TableParagraph"/>
              <w:spacing w:line="369" w:lineRule="auto" w:before="70"/>
              <w:ind w:left="285" w:right="51"/>
              <w:jc w:val="both"/>
              <w:rPr>
                <w:sz w:val="10"/>
              </w:rPr>
            </w:pPr>
            <w:r>
              <w:rPr>
                <w:sz w:val="10"/>
              </w:rPr>
              <w:t>Herramientas,</w:t>
            </w:r>
            <w:r>
              <w:rPr>
                <w:spacing w:val="1"/>
                <w:sz w:val="10"/>
              </w:rPr>
              <w:t> </w:t>
            </w:r>
            <w:r>
              <w:rPr>
                <w:sz w:val="10"/>
              </w:rPr>
              <w:t>Refacciones</w:t>
            </w:r>
            <w:r>
              <w:rPr>
                <w:spacing w:val="1"/>
                <w:sz w:val="10"/>
              </w:rPr>
              <w:t> </w:t>
            </w:r>
            <w:r>
              <w:rPr>
                <w:sz w:val="10"/>
              </w:rPr>
              <w:t>y</w:t>
            </w:r>
            <w:r>
              <w:rPr>
                <w:spacing w:val="1"/>
                <w:sz w:val="10"/>
              </w:rPr>
              <w:t> </w:t>
            </w:r>
            <w:r>
              <w:rPr>
                <w:sz w:val="10"/>
              </w:rPr>
              <w:t>Accesorios</w:t>
            </w:r>
            <w:r>
              <w:rPr>
                <w:spacing w:val="-3"/>
                <w:sz w:val="10"/>
              </w:rPr>
              <w:t> </w:t>
            </w:r>
            <w:r>
              <w:rPr>
                <w:sz w:val="10"/>
              </w:rPr>
              <w:t>Menores</w:t>
            </w:r>
          </w:p>
          <w:p>
            <w:pPr>
              <w:pStyle w:val="TableParagraph"/>
              <w:spacing w:line="506" w:lineRule="auto" w:before="69"/>
              <w:ind w:left="285" w:right="725" w:hanging="216"/>
              <w:jc w:val="both"/>
              <w:rPr>
                <w:sz w:val="10"/>
              </w:rPr>
            </w:pPr>
            <w:r>
              <w:rPr>
                <w:sz w:val="10"/>
              </w:rPr>
              <w:t>Servicios Generales</w:t>
            </w:r>
            <w:r>
              <w:rPr>
                <w:spacing w:val="1"/>
                <w:sz w:val="10"/>
              </w:rPr>
              <w:t> </w:t>
            </w:r>
            <w:r>
              <w:rPr>
                <w:spacing w:val="-1"/>
                <w:sz w:val="10"/>
              </w:rPr>
              <w:t>Servicios</w:t>
            </w:r>
            <w:r>
              <w:rPr>
                <w:spacing w:val="-6"/>
                <w:sz w:val="10"/>
              </w:rPr>
              <w:t> </w:t>
            </w:r>
            <w:r>
              <w:rPr>
                <w:sz w:val="10"/>
              </w:rPr>
              <w:t>Básicos</w:t>
            </w:r>
          </w:p>
          <w:p>
            <w:pPr>
              <w:pStyle w:val="TableParagraph"/>
              <w:spacing w:before="2"/>
              <w:ind w:left="285"/>
              <w:jc w:val="both"/>
              <w:rPr>
                <w:sz w:val="10"/>
              </w:rPr>
            </w:pPr>
            <w:r>
              <w:rPr>
                <w:sz w:val="10"/>
              </w:rPr>
              <w:t>Servicios</w:t>
            </w:r>
            <w:r>
              <w:rPr>
                <w:spacing w:val="-3"/>
                <w:sz w:val="10"/>
              </w:rPr>
              <w:t> </w:t>
            </w:r>
            <w:r>
              <w:rPr>
                <w:sz w:val="10"/>
              </w:rPr>
              <w:t>de Arrendamiento</w:t>
            </w:r>
          </w:p>
          <w:p>
            <w:pPr>
              <w:pStyle w:val="TableParagraph"/>
              <w:spacing w:before="6"/>
              <w:rPr>
                <w:sz w:val="11"/>
              </w:rPr>
            </w:pPr>
          </w:p>
          <w:p>
            <w:pPr>
              <w:pStyle w:val="TableParagraph"/>
              <w:tabs>
                <w:tab w:pos="1110" w:val="left" w:leader="none"/>
              </w:tabs>
              <w:spacing w:line="372" w:lineRule="auto"/>
              <w:ind w:left="285" w:right="48"/>
              <w:jc w:val="both"/>
              <w:rPr>
                <w:sz w:val="10"/>
              </w:rPr>
            </w:pPr>
            <w:r>
              <w:rPr>
                <w:sz w:val="10"/>
              </w:rPr>
              <w:t>Servicios</w:t>
              <w:tab/>
            </w:r>
            <w:r>
              <w:rPr>
                <w:spacing w:val="-1"/>
                <w:sz w:val="10"/>
              </w:rPr>
              <w:t>Profesionales,</w:t>
            </w:r>
            <w:r>
              <w:rPr>
                <w:spacing w:val="-26"/>
                <w:sz w:val="10"/>
              </w:rPr>
              <w:t> </w:t>
            </w:r>
            <w:r>
              <w:rPr>
                <w:sz w:val="10"/>
              </w:rPr>
              <w:t>Científicos,</w:t>
            </w:r>
            <w:r>
              <w:rPr>
                <w:spacing w:val="1"/>
                <w:sz w:val="10"/>
              </w:rPr>
              <w:t> </w:t>
            </w:r>
            <w:r>
              <w:rPr>
                <w:sz w:val="10"/>
              </w:rPr>
              <w:t>Técnicos</w:t>
            </w:r>
            <w:r>
              <w:rPr>
                <w:spacing w:val="1"/>
                <w:sz w:val="10"/>
              </w:rPr>
              <w:t> </w:t>
            </w:r>
            <w:r>
              <w:rPr>
                <w:sz w:val="10"/>
              </w:rPr>
              <w:t>y</w:t>
            </w:r>
            <w:r>
              <w:rPr>
                <w:spacing w:val="1"/>
                <w:sz w:val="10"/>
              </w:rPr>
              <w:t> </w:t>
            </w:r>
            <w:r>
              <w:rPr>
                <w:sz w:val="10"/>
              </w:rPr>
              <w:t>Otros</w:t>
            </w:r>
            <w:r>
              <w:rPr>
                <w:spacing w:val="-25"/>
                <w:sz w:val="10"/>
              </w:rPr>
              <w:t> </w:t>
            </w:r>
            <w:r>
              <w:rPr>
                <w:sz w:val="10"/>
              </w:rPr>
              <w:t>Servicios</w:t>
            </w:r>
          </w:p>
          <w:p>
            <w:pPr>
              <w:pStyle w:val="TableParagraph"/>
              <w:spacing w:line="369" w:lineRule="auto" w:before="68"/>
              <w:ind w:left="285" w:right="48"/>
              <w:jc w:val="both"/>
              <w:rPr>
                <w:sz w:val="10"/>
              </w:rPr>
            </w:pPr>
            <w:r>
              <w:rPr>
                <w:sz w:val="10"/>
              </w:rPr>
              <w:t>Servicios Financieros, Bancarios</w:t>
            </w:r>
            <w:r>
              <w:rPr>
                <w:spacing w:val="-25"/>
                <w:sz w:val="10"/>
              </w:rPr>
              <w:t> </w:t>
            </w:r>
            <w:r>
              <w:rPr>
                <w:sz w:val="10"/>
              </w:rPr>
              <w:t>y</w:t>
            </w:r>
            <w:r>
              <w:rPr>
                <w:spacing w:val="-1"/>
                <w:sz w:val="10"/>
              </w:rPr>
              <w:t> </w:t>
            </w:r>
            <w:r>
              <w:rPr>
                <w:sz w:val="10"/>
              </w:rPr>
              <w:t>Comerciales</w:t>
            </w:r>
          </w:p>
          <w:p>
            <w:pPr>
              <w:pStyle w:val="TableParagraph"/>
              <w:spacing w:line="372" w:lineRule="auto" w:before="82"/>
              <w:ind w:left="285" w:right="48"/>
              <w:jc w:val="both"/>
              <w:rPr>
                <w:sz w:val="10"/>
              </w:rPr>
            </w:pPr>
            <w:r>
              <w:rPr>
                <w:sz w:val="10"/>
              </w:rPr>
              <w:t>Servicios</w:t>
            </w:r>
            <w:r>
              <w:rPr>
                <w:spacing w:val="1"/>
                <w:sz w:val="10"/>
              </w:rPr>
              <w:t> </w:t>
            </w:r>
            <w:r>
              <w:rPr>
                <w:sz w:val="10"/>
              </w:rPr>
              <w:t>de</w:t>
            </w:r>
            <w:r>
              <w:rPr>
                <w:spacing w:val="1"/>
                <w:sz w:val="10"/>
              </w:rPr>
              <w:t> </w:t>
            </w:r>
            <w:r>
              <w:rPr>
                <w:sz w:val="10"/>
              </w:rPr>
              <w:t>Instalación,</w:t>
            </w:r>
            <w:r>
              <w:rPr>
                <w:spacing w:val="1"/>
                <w:sz w:val="10"/>
              </w:rPr>
              <w:t> </w:t>
            </w:r>
            <w:r>
              <w:rPr>
                <w:sz w:val="10"/>
              </w:rPr>
              <w:t>Reparación,</w:t>
            </w:r>
            <w:r>
              <w:rPr>
                <w:spacing w:val="1"/>
                <w:sz w:val="10"/>
              </w:rPr>
              <w:t> </w:t>
            </w:r>
            <w:r>
              <w:rPr>
                <w:sz w:val="10"/>
              </w:rPr>
              <w:t>Mantenimiento</w:t>
            </w:r>
            <w:r>
              <w:rPr>
                <w:spacing w:val="1"/>
                <w:sz w:val="10"/>
              </w:rPr>
              <w:t> </w:t>
            </w:r>
            <w:r>
              <w:rPr>
                <w:sz w:val="10"/>
              </w:rPr>
              <w:t>y</w:t>
            </w:r>
            <w:r>
              <w:rPr>
                <w:spacing w:val="1"/>
                <w:sz w:val="10"/>
              </w:rPr>
              <w:t> </w:t>
            </w:r>
            <w:r>
              <w:rPr>
                <w:sz w:val="10"/>
              </w:rPr>
              <w:t>Conservación</w:t>
            </w:r>
          </w:p>
          <w:p>
            <w:pPr>
              <w:pStyle w:val="TableParagraph"/>
              <w:spacing w:line="369" w:lineRule="auto" w:before="82"/>
              <w:ind w:left="285" w:right="48"/>
              <w:jc w:val="both"/>
              <w:rPr>
                <w:sz w:val="10"/>
              </w:rPr>
            </w:pPr>
            <w:r>
              <w:rPr>
                <w:sz w:val="10"/>
              </w:rPr>
              <w:t>Servicios</w:t>
            </w:r>
            <w:r>
              <w:rPr>
                <w:spacing w:val="1"/>
                <w:sz w:val="10"/>
              </w:rPr>
              <w:t> </w:t>
            </w:r>
            <w:r>
              <w:rPr>
                <w:sz w:val="10"/>
              </w:rPr>
              <w:t>de</w:t>
            </w:r>
            <w:r>
              <w:rPr>
                <w:spacing w:val="1"/>
                <w:sz w:val="10"/>
              </w:rPr>
              <w:t> </w:t>
            </w:r>
            <w:r>
              <w:rPr>
                <w:sz w:val="10"/>
              </w:rPr>
              <w:t>Comunicación</w:t>
            </w:r>
            <w:r>
              <w:rPr>
                <w:spacing w:val="1"/>
                <w:sz w:val="10"/>
              </w:rPr>
              <w:t> </w:t>
            </w:r>
            <w:r>
              <w:rPr>
                <w:sz w:val="10"/>
              </w:rPr>
              <w:t>Social</w:t>
            </w:r>
            <w:r>
              <w:rPr>
                <w:spacing w:val="1"/>
                <w:sz w:val="10"/>
              </w:rPr>
              <w:t> </w:t>
            </w:r>
            <w:r>
              <w:rPr>
                <w:sz w:val="10"/>
              </w:rPr>
              <w:t>y</w:t>
            </w:r>
            <w:r>
              <w:rPr>
                <w:spacing w:val="-2"/>
                <w:sz w:val="10"/>
              </w:rPr>
              <w:t> </w:t>
            </w:r>
            <w:r>
              <w:rPr>
                <w:sz w:val="10"/>
              </w:rPr>
              <w:t>Publicidad</w:t>
            </w:r>
          </w:p>
          <w:p>
            <w:pPr>
              <w:pStyle w:val="TableParagraph"/>
              <w:spacing w:line="535" w:lineRule="auto" w:before="78"/>
              <w:ind w:left="285" w:right="89"/>
              <w:jc w:val="both"/>
              <w:rPr>
                <w:sz w:val="10"/>
              </w:rPr>
            </w:pPr>
            <w:r>
              <w:rPr>
                <w:sz w:val="10"/>
              </w:rPr>
              <w:t>Servicios de Traslado y Viáticos</w:t>
            </w:r>
            <w:r>
              <w:rPr>
                <w:spacing w:val="-25"/>
                <w:sz w:val="10"/>
              </w:rPr>
              <w:t> </w:t>
            </w:r>
            <w:r>
              <w:rPr>
                <w:sz w:val="10"/>
              </w:rPr>
              <w:t>Servicios</w:t>
            </w:r>
            <w:r>
              <w:rPr>
                <w:spacing w:val="-3"/>
                <w:sz w:val="10"/>
              </w:rPr>
              <w:t> </w:t>
            </w:r>
            <w:r>
              <w:rPr>
                <w:sz w:val="10"/>
              </w:rPr>
              <w:t>Oficiales</w:t>
            </w:r>
          </w:p>
          <w:p>
            <w:pPr>
              <w:pStyle w:val="TableParagraph"/>
              <w:spacing w:before="1"/>
              <w:ind w:left="285"/>
              <w:jc w:val="both"/>
              <w:rPr>
                <w:sz w:val="10"/>
              </w:rPr>
            </w:pPr>
            <w:r>
              <w:rPr>
                <w:sz w:val="10"/>
              </w:rPr>
              <w:t>Otros</w:t>
            </w:r>
            <w:r>
              <w:rPr>
                <w:spacing w:val="-3"/>
                <w:sz w:val="10"/>
              </w:rPr>
              <w:t> </w:t>
            </w:r>
            <w:r>
              <w:rPr>
                <w:sz w:val="10"/>
              </w:rPr>
              <w:t>Servicios</w:t>
            </w:r>
            <w:r>
              <w:rPr>
                <w:spacing w:val="-3"/>
                <w:sz w:val="10"/>
              </w:rPr>
              <w:t> </w:t>
            </w:r>
            <w:r>
              <w:rPr>
                <w:sz w:val="10"/>
              </w:rPr>
              <w:t>Generales</w:t>
            </w:r>
          </w:p>
          <w:p>
            <w:pPr>
              <w:pStyle w:val="TableParagraph"/>
              <w:spacing w:before="4"/>
              <w:rPr>
                <w:sz w:val="12"/>
              </w:rPr>
            </w:pPr>
          </w:p>
          <w:p>
            <w:pPr>
              <w:pStyle w:val="TableParagraph"/>
              <w:tabs>
                <w:tab w:pos="1124" w:val="left" w:leader="none"/>
              </w:tabs>
              <w:spacing w:line="369" w:lineRule="auto"/>
              <w:ind w:left="69" w:right="51"/>
              <w:rPr>
                <w:sz w:val="10"/>
              </w:rPr>
            </w:pPr>
            <w:r>
              <w:rPr>
                <w:sz w:val="10"/>
              </w:rPr>
              <w:t>Transferencias,</w:t>
              <w:tab/>
            </w:r>
            <w:r>
              <w:rPr>
                <w:spacing w:val="-1"/>
                <w:sz w:val="10"/>
              </w:rPr>
              <w:t>Asignaciones,</w:t>
            </w:r>
            <w:r>
              <w:rPr>
                <w:spacing w:val="-25"/>
                <w:sz w:val="10"/>
              </w:rPr>
              <w:t> </w:t>
            </w:r>
            <w:r>
              <w:rPr>
                <w:sz w:val="10"/>
              </w:rPr>
              <w:t>Subsidios</w:t>
            </w:r>
            <w:r>
              <w:rPr>
                <w:spacing w:val="-3"/>
                <w:sz w:val="10"/>
              </w:rPr>
              <w:t> </w:t>
            </w:r>
            <w:r>
              <w:rPr>
                <w:sz w:val="10"/>
              </w:rPr>
              <w:t>y Otras</w:t>
            </w:r>
            <w:r>
              <w:rPr>
                <w:spacing w:val="-2"/>
                <w:sz w:val="10"/>
              </w:rPr>
              <w:t> </w:t>
            </w:r>
            <w:r>
              <w:rPr>
                <w:sz w:val="10"/>
              </w:rPr>
              <w:t>Ayudas</w:t>
            </w:r>
          </w:p>
          <w:p>
            <w:pPr>
              <w:pStyle w:val="TableParagraph"/>
              <w:spacing w:line="369" w:lineRule="auto" w:before="83"/>
              <w:ind w:left="285" w:right="37"/>
              <w:rPr>
                <w:sz w:val="10"/>
              </w:rPr>
            </w:pPr>
            <w:r>
              <w:rPr>
                <w:sz w:val="10"/>
              </w:rPr>
              <w:t>Transferencias     </w:t>
            </w:r>
            <w:r>
              <w:rPr>
                <w:spacing w:val="24"/>
                <w:sz w:val="10"/>
              </w:rPr>
              <w:t> </w:t>
            </w:r>
            <w:r>
              <w:rPr>
                <w:spacing w:val="-1"/>
                <w:sz w:val="10"/>
              </w:rPr>
              <w:t>Internas</w:t>
            </w:r>
            <w:r>
              <w:rPr>
                <w:spacing w:val="38"/>
                <w:sz w:val="10"/>
              </w:rPr>
              <w:t>  </w:t>
            </w:r>
            <w:r>
              <w:rPr>
                <w:spacing w:val="39"/>
                <w:sz w:val="10"/>
              </w:rPr>
              <w:t> </w:t>
            </w:r>
            <w:r>
              <w:rPr>
                <w:sz w:val="10"/>
              </w:rPr>
              <w:t>y</w:t>
            </w:r>
            <w:r>
              <w:rPr>
                <w:spacing w:val="-25"/>
                <w:sz w:val="10"/>
              </w:rPr>
              <w:t> </w:t>
            </w:r>
            <w:r>
              <w:rPr>
                <w:sz w:val="10"/>
              </w:rPr>
              <w:t>Asignaciones</w:t>
            </w:r>
            <w:r>
              <w:rPr>
                <w:spacing w:val="-3"/>
                <w:sz w:val="10"/>
              </w:rPr>
              <w:t> </w:t>
            </w:r>
            <w:r>
              <w:rPr>
                <w:sz w:val="10"/>
              </w:rPr>
              <w:t>al</w:t>
            </w:r>
            <w:r>
              <w:rPr>
                <w:spacing w:val="2"/>
                <w:sz w:val="10"/>
              </w:rPr>
              <w:t> </w:t>
            </w:r>
            <w:r>
              <w:rPr>
                <w:sz w:val="10"/>
              </w:rPr>
              <w:t>Sector</w:t>
            </w:r>
            <w:r>
              <w:rPr>
                <w:spacing w:val="-2"/>
                <w:sz w:val="10"/>
              </w:rPr>
              <w:t> </w:t>
            </w:r>
            <w:r>
              <w:rPr>
                <w:sz w:val="10"/>
              </w:rPr>
              <w:t>Público</w:t>
            </w:r>
          </w:p>
          <w:p>
            <w:pPr>
              <w:pStyle w:val="TableParagraph"/>
              <w:spacing w:line="369" w:lineRule="auto" w:before="82"/>
              <w:ind w:left="285"/>
              <w:rPr>
                <w:sz w:val="10"/>
              </w:rPr>
            </w:pPr>
            <w:r>
              <w:rPr>
                <w:sz w:val="10"/>
              </w:rPr>
              <w:t>Transferencias</w:t>
            </w:r>
            <w:r>
              <w:rPr>
                <w:spacing w:val="18"/>
                <w:sz w:val="10"/>
              </w:rPr>
              <w:t> </w:t>
            </w:r>
            <w:r>
              <w:rPr>
                <w:sz w:val="10"/>
              </w:rPr>
              <w:t>al</w:t>
            </w:r>
            <w:r>
              <w:rPr>
                <w:spacing w:val="22"/>
                <w:sz w:val="10"/>
              </w:rPr>
              <w:t> </w:t>
            </w:r>
            <w:r>
              <w:rPr>
                <w:sz w:val="10"/>
              </w:rPr>
              <w:t>Resto</w:t>
            </w:r>
            <w:r>
              <w:rPr>
                <w:spacing w:val="19"/>
                <w:sz w:val="10"/>
              </w:rPr>
              <w:t> </w:t>
            </w:r>
            <w:r>
              <w:rPr>
                <w:sz w:val="10"/>
              </w:rPr>
              <w:t>del</w:t>
            </w:r>
            <w:r>
              <w:rPr>
                <w:spacing w:val="-25"/>
                <w:sz w:val="10"/>
              </w:rPr>
              <w:t> </w:t>
            </w:r>
            <w:r>
              <w:rPr>
                <w:sz w:val="10"/>
              </w:rPr>
              <w:t>Sector Público</w:t>
            </w:r>
          </w:p>
          <w:p>
            <w:pPr>
              <w:pStyle w:val="TableParagraph"/>
              <w:spacing w:line="535" w:lineRule="auto" w:before="78"/>
              <w:ind w:left="285" w:right="334"/>
              <w:rPr>
                <w:sz w:val="10"/>
              </w:rPr>
            </w:pPr>
            <w:r>
              <w:rPr>
                <w:spacing w:val="-1"/>
                <w:sz w:val="10"/>
              </w:rPr>
              <w:t>Subsidios </w:t>
            </w:r>
            <w:r>
              <w:rPr>
                <w:sz w:val="10"/>
              </w:rPr>
              <w:t>y Subvenciones</w:t>
            </w:r>
            <w:r>
              <w:rPr>
                <w:spacing w:val="-25"/>
                <w:sz w:val="10"/>
              </w:rPr>
              <w:t> </w:t>
            </w:r>
            <w:r>
              <w:rPr>
                <w:sz w:val="10"/>
              </w:rPr>
              <w:t>Ayudas Sociales</w:t>
            </w:r>
            <w:r>
              <w:rPr>
                <w:spacing w:val="1"/>
                <w:sz w:val="10"/>
              </w:rPr>
              <w:t> </w:t>
            </w:r>
            <w:r>
              <w:rPr>
                <w:sz w:val="10"/>
              </w:rPr>
              <w:t>Pensiones</w:t>
            </w:r>
            <w:r>
              <w:rPr>
                <w:spacing w:val="-3"/>
                <w:sz w:val="10"/>
              </w:rPr>
              <w:t> </w:t>
            </w:r>
            <w:r>
              <w:rPr>
                <w:sz w:val="10"/>
              </w:rPr>
              <w:t>y Jubilaciones</w:t>
            </w:r>
          </w:p>
          <w:p>
            <w:pPr>
              <w:pStyle w:val="TableParagraph"/>
              <w:spacing w:line="369" w:lineRule="auto" w:before="4"/>
              <w:ind w:left="285"/>
              <w:rPr>
                <w:sz w:val="10"/>
              </w:rPr>
            </w:pPr>
            <w:r>
              <w:rPr>
                <w:sz w:val="10"/>
              </w:rPr>
              <w:t>Transferencias</w:t>
            </w:r>
            <w:r>
              <w:rPr>
                <w:spacing w:val="5"/>
                <w:sz w:val="10"/>
              </w:rPr>
              <w:t> </w:t>
            </w:r>
            <w:r>
              <w:rPr>
                <w:sz w:val="10"/>
              </w:rPr>
              <w:t>a</w:t>
            </w:r>
            <w:r>
              <w:rPr>
                <w:spacing w:val="7"/>
                <w:sz w:val="10"/>
              </w:rPr>
              <w:t> </w:t>
            </w:r>
            <w:r>
              <w:rPr>
                <w:sz w:val="10"/>
              </w:rPr>
              <w:t>Fideicomisos,</w:t>
            </w:r>
            <w:r>
              <w:rPr>
                <w:spacing w:val="-25"/>
                <w:sz w:val="10"/>
              </w:rPr>
              <w:t> </w:t>
            </w:r>
            <w:r>
              <w:rPr>
                <w:sz w:val="10"/>
              </w:rPr>
              <w:t>Mandatos</w:t>
            </w:r>
            <w:r>
              <w:rPr>
                <w:spacing w:val="-3"/>
                <w:sz w:val="10"/>
              </w:rPr>
              <w:t> </w:t>
            </w:r>
            <w:r>
              <w:rPr>
                <w:sz w:val="10"/>
              </w:rPr>
              <w:t>y Otros</w:t>
            </w:r>
            <w:r>
              <w:rPr>
                <w:spacing w:val="-2"/>
                <w:sz w:val="10"/>
              </w:rPr>
              <w:t> </w:t>
            </w:r>
            <w:r>
              <w:rPr>
                <w:sz w:val="10"/>
              </w:rPr>
              <w:t>Análogos</w:t>
            </w:r>
          </w:p>
          <w:p>
            <w:pPr>
              <w:pStyle w:val="TableParagraph"/>
              <w:spacing w:line="369" w:lineRule="auto" w:before="80"/>
              <w:ind w:left="285"/>
              <w:rPr>
                <w:sz w:val="10"/>
              </w:rPr>
            </w:pPr>
            <w:r>
              <w:rPr>
                <w:sz w:val="10"/>
              </w:rPr>
              <w:t>Transferencias</w:t>
            </w:r>
            <w:r>
              <w:rPr>
                <w:spacing w:val="8"/>
                <w:sz w:val="10"/>
              </w:rPr>
              <w:t> </w:t>
            </w:r>
            <w:r>
              <w:rPr>
                <w:sz w:val="10"/>
              </w:rPr>
              <w:t>a</w:t>
            </w:r>
            <w:r>
              <w:rPr>
                <w:spacing w:val="10"/>
                <w:sz w:val="10"/>
              </w:rPr>
              <w:t> </w:t>
            </w:r>
            <w:r>
              <w:rPr>
                <w:sz w:val="10"/>
              </w:rPr>
              <w:t>la</w:t>
            </w:r>
            <w:r>
              <w:rPr>
                <w:spacing w:val="10"/>
                <w:sz w:val="10"/>
              </w:rPr>
              <w:t> </w:t>
            </w:r>
            <w:r>
              <w:rPr>
                <w:sz w:val="10"/>
              </w:rPr>
              <w:t>Seguridad</w:t>
            </w:r>
            <w:r>
              <w:rPr>
                <w:spacing w:val="-25"/>
                <w:sz w:val="10"/>
              </w:rPr>
              <w:t> </w:t>
            </w:r>
            <w:r>
              <w:rPr>
                <w:sz w:val="10"/>
              </w:rPr>
              <w:t>Social</w:t>
            </w:r>
          </w:p>
          <w:p>
            <w:pPr>
              <w:pStyle w:val="TableParagraph"/>
              <w:spacing w:before="80"/>
              <w:ind w:left="285"/>
              <w:rPr>
                <w:sz w:val="10"/>
              </w:rPr>
            </w:pPr>
            <w:r>
              <w:rPr>
                <w:sz w:val="10"/>
              </w:rPr>
              <w:t>Donativos</w:t>
            </w:r>
          </w:p>
          <w:p>
            <w:pPr>
              <w:pStyle w:val="TableParagraph"/>
              <w:spacing w:before="4"/>
              <w:rPr>
                <w:sz w:val="12"/>
              </w:rPr>
            </w:pPr>
          </w:p>
          <w:p>
            <w:pPr>
              <w:pStyle w:val="TableParagraph"/>
              <w:ind w:left="285"/>
              <w:rPr>
                <w:sz w:val="10"/>
              </w:rPr>
            </w:pPr>
            <w:r>
              <w:rPr>
                <w:sz w:val="10"/>
              </w:rPr>
              <w:t>Transferencias</w:t>
            </w:r>
            <w:r>
              <w:rPr>
                <w:spacing w:val="-3"/>
                <w:sz w:val="10"/>
              </w:rPr>
              <w:t> </w:t>
            </w:r>
            <w:r>
              <w:rPr>
                <w:sz w:val="10"/>
              </w:rPr>
              <w:t>al Exterior</w:t>
            </w:r>
          </w:p>
          <w:p>
            <w:pPr>
              <w:pStyle w:val="TableParagraph"/>
              <w:spacing w:before="4"/>
              <w:rPr>
                <w:sz w:val="12"/>
              </w:rPr>
            </w:pPr>
          </w:p>
          <w:p>
            <w:pPr>
              <w:pStyle w:val="TableParagraph"/>
              <w:spacing w:line="369" w:lineRule="auto"/>
              <w:ind w:left="69" w:right="39"/>
              <w:rPr>
                <w:sz w:val="10"/>
              </w:rPr>
            </w:pPr>
            <w:r>
              <w:rPr>
                <w:sz w:val="10"/>
              </w:rPr>
              <w:t>Bienes    </w:t>
            </w:r>
            <w:r>
              <w:rPr>
                <w:spacing w:val="7"/>
                <w:sz w:val="10"/>
              </w:rPr>
              <w:t> </w:t>
            </w:r>
            <w:r>
              <w:rPr>
                <w:spacing w:val="-1"/>
                <w:sz w:val="10"/>
              </w:rPr>
              <w:t>Muebles,</w:t>
            </w:r>
            <w:r>
              <w:rPr>
                <w:spacing w:val="49"/>
                <w:sz w:val="10"/>
              </w:rPr>
              <w:t> </w:t>
            </w:r>
            <w:r>
              <w:rPr>
                <w:spacing w:val="49"/>
                <w:sz w:val="10"/>
              </w:rPr>
              <w:t> </w:t>
            </w:r>
            <w:r>
              <w:rPr>
                <w:sz w:val="10"/>
              </w:rPr>
              <w:t>Inmuebles    </w:t>
            </w:r>
            <w:r>
              <w:rPr>
                <w:spacing w:val="9"/>
                <w:sz w:val="10"/>
              </w:rPr>
              <w:t> </w:t>
            </w:r>
            <w:r>
              <w:rPr>
                <w:sz w:val="10"/>
              </w:rPr>
              <w:t>e</w:t>
            </w:r>
            <w:r>
              <w:rPr>
                <w:spacing w:val="-25"/>
                <w:sz w:val="10"/>
              </w:rPr>
              <w:t> </w:t>
            </w:r>
            <w:r>
              <w:rPr>
                <w:sz w:val="10"/>
              </w:rPr>
              <w:t>Intangibles</w:t>
            </w:r>
          </w:p>
          <w:p>
            <w:pPr>
              <w:pStyle w:val="TableParagraph"/>
              <w:spacing w:line="369" w:lineRule="auto" w:before="83"/>
              <w:ind w:left="285" w:right="36"/>
              <w:rPr>
                <w:sz w:val="10"/>
              </w:rPr>
            </w:pPr>
            <w:r>
              <w:rPr>
                <w:spacing w:val="-1"/>
                <w:sz w:val="10"/>
              </w:rPr>
              <w:t>Mobiliario</w:t>
            </w:r>
            <w:r>
              <w:rPr>
                <w:spacing w:val="37"/>
                <w:sz w:val="10"/>
              </w:rPr>
              <w:t>  </w:t>
            </w:r>
            <w:r>
              <w:rPr>
                <w:spacing w:val="37"/>
                <w:sz w:val="10"/>
              </w:rPr>
              <w:t> </w:t>
            </w:r>
            <w:r>
              <w:rPr>
                <w:sz w:val="10"/>
              </w:rPr>
              <w:t>y     </w:t>
            </w:r>
            <w:r>
              <w:rPr>
                <w:spacing w:val="18"/>
                <w:sz w:val="10"/>
              </w:rPr>
              <w:t> </w:t>
            </w:r>
            <w:r>
              <w:rPr>
                <w:sz w:val="10"/>
              </w:rPr>
              <w:t>Equipo     </w:t>
            </w:r>
            <w:r>
              <w:rPr>
                <w:spacing w:val="19"/>
                <w:sz w:val="10"/>
              </w:rPr>
              <w:t> </w:t>
            </w:r>
            <w:r>
              <w:rPr>
                <w:sz w:val="10"/>
              </w:rPr>
              <w:t>de</w:t>
            </w:r>
            <w:r>
              <w:rPr>
                <w:spacing w:val="-25"/>
                <w:sz w:val="10"/>
              </w:rPr>
              <w:t> </w:t>
            </w:r>
            <w:r>
              <w:rPr>
                <w:sz w:val="10"/>
              </w:rPr>
              <w:t>Administración</w:t>
            </w:r>
          </w:p>
          <w:p>
            <w:pPr>
              <w:pStyle w:val="TableParagraph"/>
              <w:spacing w:line="369" w:lineRule="auto" w:before="83"/>
              <w:ind w:left="285" w:right="48"/>
              <w:rPr>
                <w:sz w:val="10"/>
              </w:rPr>
            </w:pPr>
            <w:r>
              <w:rPr>
                <w:sz w:val="10"/>
              </w:rPr>
              <w:t>Mobiliario</w:t>
            </w:r>
            <w:r>
              <w:rPr>
                <w:spacing w:val="8"/>
                <w:sz w:val="10"/>
              </w:rPr>
              <w:t> </w:t>
            </w:r>
            <w:r>
              <w:rPr>
                <w:sz w:val="10"/>
              </w:rPr>
              <w:t>y</w:t>
            </w:r>
            <w:r>
              <w:rPr>
                <w:spacing w:val="9"/>
                <w:sz w:val="10"/>
              </w:rPr>
              <w:t> </w:t>
            </w:r>
            <w:r>
              <w:rPr>
                <w:sz w:val="10"/>
              </w:rPr>
              <w:t>Equipo</w:t>
            </w:r>
            <w:r>
              <w:rPr>
                <w:spacing w:val="9"/>
                <w:sz w:val="10"/>
              </w:rPr>
              <w:t> </w:t>
            </w:r>
            <w:r>
              <w:rPr>
                <w:sz w:val="10"/>
              </w:rPr>
              <w:t>Educacional</w:t>
            </w:r>
            <w:r>
              <w:rPr>
                <w:spacing w:val="-25"/>
                <w:sz w:val="10"/>
              </w:rPr>
              <w:t> </w:t>
            </w:r>
            <w:r>
              <w:rPr>
                <w:sz w:val="10"/>
              </w:rPr>
              <w:t>y Recreativo</w:t>
            </w:r>
          </w:p>
          <w:p>
            <w:pPr>
              <w:pStyle w:val="TableParagraph"/>
              <w:spacing w:line="369" w:lineRule="auto" w:before="80"/>
              <w:ind w:left="285" w:right="40"/>
              <w:rPr>
                <w:sz w:val="10"/>
              </w:rPr>
            </w:pPr>
            <w:r>
              <w:rPr>
                <w:sz w:val="10"/>
              </w:rPr>
              <w:t>Equipo</w:t>
            </w:r>
            <w:r>
              <w:rPr>
                <w:spacing w:val="13"/>
                <w:sz w:val="10"/>
              </w:rPr>
              <w:t> </w:t>
            </w:r>
            <w:r>
              <w:rPr>
                <w:sz w:val="10"/>
              </w:rPr>
              <w:t>e</w:t>
            </w:r>
            <w:r>
              <w:rPr>
                <w:spacing w:val="13"/>
                <w:sz w:val="10"/>
              </w:rPr>
              <w:t> </w:t>
            </w:r>
            <w:r>
              <w:rPr>
                <w:sz w:val="10"/>
              </w:rPr>
              <w:t>Instrumental</w:t>
            </w:r>
            <w:r>
              <w:rPr>
                <w:spacing w:val="14"/>
                <w:sz w:val="10"/>
              </w:rPr>
              <w:t> </w:t>
            </w:r>
            <w:r>
              <w:rPr>
                <w:sz w:val="10"/>
              </w:rPr>
              <w:t>Médico</w:t>
            </w:r>
            <w:r>
              <w:rPr>
                <w:spacing w:val="11"/>
                <w:sz w:val="10"/>
              </w:rPr>
              <w:t> </w:t>
            </w:r>
            <w:r>
              <w:rPr>
                <w:sz w:val="10"/>
              </w:rPr>
              <w:t>y</w:t>
            </w:r>
            <w:r>
              <w:rPr>
                <w:spacing w:val="-25"/>
                <w:sz w:val="10"/>
              </w:rPr>
              <w:t> </w:t>
            </w:r>
            <w:r>
              <w:rPr>
                <w:sz w:val="10"/>
              </w:rPr>
              <w:t>de</w:t>
            </w:r>
            <w:r>
              <w:rPr>
                <w:spacing w:val="-1"/>
                <w:sz w:val="10"/>
              </w:rPr>
              <w:t> </w:t>
            </w:r>
            <w:r>
              <w:rPr>
                <w:sz w:val="10"/>
              </w:rPr>
              <w:t>Laboratorio</w:t>
            </w:r>
          </w:p>
        </w:tc>
        <w:tc>
          <w:tcPr>
            <w:tcW w:w="49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48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49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49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49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49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49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48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54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65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595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62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595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</w:tr>
    </w:tbl>
    <w:p>
      <w:pPr>
        <w:spacing w:after="0"/>
        <w:rPr>
          <w:rFonts w:ascii="Times New Roman"/>
          <w:sz w:val="10"/>
        </w:rPr>
        <w:sectPr>
          <w:pgSz w:w="12240" w:h="15840"/>
          <w:pgMar w:top="1160" w:bottom="280" w:left="1560" w:right="1560"/>
        </w:sectPr>
      </w:pPr>
    </w:p>
    <w:tbl>
      <w:tblPr>
        <w:tblW w:w="0" w:type="auto"/>
        <w:jc w:val="left"/>
        <w:tblInd w:w="224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817"/>
        <w:gridCol w:w="490"/>
        <w:gridCol w:w="480"/>
        <w:gridCol w:w="490"/>
        <w:gridCol w:w="492"/>
        <w:gridCol w:w="490"/>
        <w:gridCol w:w="492"/>
        <w:gridCol w:w="492"/>
        <w:gridCol w:w="489"/>
        <w:gridCol w:w="542"/>
        <w:gridCol w:w="650"/>
        <w:gridCol w:w="595"/>
        <w:gridCol w:w="624"/>
        <w:gridCol w:w="595"/>
      </w:tblGrid>
      <w:tr>
        <w:trPr>
          <w:trHeight w:val="9564" w:hRule="atLeast"/>
        </w:trPr>
        <w:tc>
          <w:tcPr>
            <w:tcW w:w="1817" w:type="dxa"/>
            <w:tcBorders>
              <w:top w:val="nil"/>
            </w:tcBorders>
          </w:tcPr>
          <w:p>
            <w:pPr>
              <w:pStyle w:val="TableParagraph"/>
              <w:spacing w:line="369" w:lineRule="auto" w:before="50"/>
              <w:ind w:left="285" w:right="50"/>
              <w:jc w:val="both"/>
              <w:rPr>
                <w:sz w:val="10"/>
              </w:rPr>
            </w:pPr>
            <w:r>
              <w:rPr>
                <w:sz w:val="10"/>
              </w:rPr>
              <w:t>Vehículos</w:t>
            </w:r>
            <w:r>
              <w:rPr>
                <w:spacing w:val="1"/>
                <w:sz w:val="10"/>
              </w:rPr>
              <w:t> </w:t>
            </w:r>
            <w:r>
              <w:rPr>
                <w:sz w:val="10"/>
              </w:rPr>
              <w:t>y</w:t>
            </w:r>
            <w:r>
              <w:rPr>
                <w:spacing w:val="1"/>
                <w:sz w:val="10"/>
              </w:rPr>
              <w:t> </w:t>
            </w:r>
            <w:r>
              <w:rPr>
                <w:sz w:val="10"/>
              </w:rPr>
              <w:t>Equipo</w:t>
            </w:r>
            <w:r>
              <w:rPr>
                <w:spacing w:val="1"/>
                <w:sz w:val="10"/>
              </w:rPr>
              <w:t> </w:t>
            </w:r>
            <w:r>
              <w:rPr>
                <w:sz w:val="10"/>
              </w:rPr>
              <w:t>de</w:t>
            </w:r>
            <w:r>
              <w:rPr>
                <w:spacing w:val="1"/>
                <w:sz w:val="10"/>
              </w:rPr>
              <w:t> </w:t>
            </w:r>
            <w:r>
              <w:rPr>
                <w:sz w:val="10"/>
              </w:rPr>
              <w:t>Transporte</w:t>
            </w:r>
          </w:p>
          <w:p>
            <w:pPr>
              <w:pStyle w:val="TableParagraph"/>
              <w:spacing w:before="80"/>
              <w:ind w:left="285"/>
              <w:rPr>
                <w:sz w:val="10"/>
              </w:rPr>
            </w:pPr>
            <w:r>
              <w:rPr>
                <w:sz w:val="10"/>
              </w:rPr>
              <w:t>Equipo</w:t>
            </w:r>
            <w:r>
              <w:rPr>
                <w:spacing w:val="-1"/>
                <w:sz w:val="10"/>
              </w:rPr>
              <w:t> </w:t>
            </w:r>
            <w:r>
              <w:rPr>
                <w:sz w:val="10"/>
              </w:rPr>
              <w:t>de</w:t>
            </w:r>
            <w:r>
              <w:rPr>
                <w:spacing w:val="-1"/>
                <w:sz w:val="10"/>
              </w:rPr>
              <w:t> </w:t>
            </w:r>
            <w:r>
              <w:rPr>
                <w:sz w:val="10"/>
              </w:rPr>
              <w:t>Defensa</w:t>
            </w:r>
            <w:r>
              <w:rPr>
                <w:spacing w:val="-1"/>
                <w:sz w:val="10"/>
              </w:rPr>
              <w:t> </w:t>
            </w:r>
            <w:r>
              <w:rPr>
                <w:sz w:val="10"/>
              </w:rPr>
              <w:t>y Seguridad</w:t>
            </w:r>
          </w:p>
          <w:p>
            <w:pPr>
              <w:pStyle w:val="TableParagraph"/>
              <w:spacing w:before="4"/>
              <w:rPr>
                <w:sz w:val="12"/>
              </w:rPr>
            </w:pPr>
          </w:p>
          <w:p>
            <w:pPr>
              <w:pStyle w:val="TableParagraph"/>
              <w:spacing w:line="369" w:lineRule="auto"/>
              <w:ind w:left="285" w:right="51"/>
              <w:jc w:val="both"/>
              <w:rPr>
                <w:sz w:val="10"/>
              </w:rPr>
            </w:pPr>
            <w:r>
              <w:rPr>
                <w:sz w:val="10"/>
              </w:rPr>
              <w:t>Maquinaria,</w:t>
            </w:r>
            <w:r>
              <w:rPr>
                <w:spacing w:val="1"/>
                <w:sz w:val="10"/>
              </w:rPr>
              <w:t> </w:t>
            </w:r>
            <w:r>
              <w:rPr>
                <w:sz w:val="10"/>
              </w:rPr>
              <w:t>Otros</w:t>
            </w:r>
            <w:r>
              <w:rPr>
                <w:spacing w:val="1"/>
                <w:sz w:val="10"/>
              </w:rPr>
              <w:t> </w:t>
            </w:r>
            <w:r>
              <w:rPr>
                <w:sz w:val="10"/>
              </w:rPr>
              <w:t>Equipos</w:t>
            </w:r>
            <w:r>
              <w:rPr>
                <w:spacing w:val="1"/>
                <w:sz w:val="10"/>
              </w:rPr>
              <w:t> </w:t>
            </w:r>
            <w:r>
              <w:rPr>
                <w:sz w:val="10"/>
              </w:rPr>
              <w:t>y</w:t>
            </w:r>
            <w:r>
              <w:rPr>
                <w:spacing w:val="1"/>
                <w:sz w:val="10"/>
              </w:rPr>
              <w:t> </w:t>
            </w:r>
            <w:r>
              <w:rPr>
                <w:sz w:val="10"/>
              </w:rPr>
              <w:t>Herramientas</w:t>
            </w:r>
          </w:p>
          <w:p>
            <w:pPr>
              <w:pStyle w:val="TableParagraph"/>
              <w:spacing w:line="532" w:lineRule="auto" w:before="81"/>
              <w:ind w:left="285" w:right="674"/>
              <w:jc w:val="both"/>
              <w:rPr>
                <w:sz w:val="10"/>
              </w:rPr>
            </w:pPr>
            <w:r>
              <w:rPr>
                <w:sz w:val="10"/>
              </w:rPr>
              <w:t>Activos Biológicos</w:t>
            </w:r>
            <w:r>
              <w:rPr>
                <w:spacing w:val="1"/>
                <w:sz w:val="10"/>
              </w:rPr>
              <w:t> </w:t>
            </w:r>
            <w:r>
              <w:rPr>
                <w:sz w:val="10"/>
              </w:rPr>
              <w:t>Bienes Inmuebles</w:t>
            </w:r>
            <w:r>
              <w:rPr>
                <w:spacing w:val="1"/>
                <w:sz w:val="10"/>
              </w:rPr>
              <w:t> </w:t>
            </w:r>
            <w:r>
              <w:rPr>
                <w:spacing w:val="-1"/>
                <w:sz w:val="10"/>
              </w:rPr>
              <w:t>Activos</w:t>
            </w:r>
            <w:r>
              <w:rPr>
                <w:spacing w:val="-6"/>
                <w:sz w:val="10"/>
              </w:rPr>
              <w:t> </w:t>
            </w:r>
            <w:r>
              <w:rPr>
                <w:sz w:val="10"/>
              </w:rPr>
              <w:t>Intangibles</w:t>
            </w:r>
          </w:p>
          <w:p>
            <w:pPr>
              <w:pStyle w:val="TableParagraph"/>
              <w:spacing w:before="2"/>
              <w:ind w:left="69"/>
              <w:rPr>
                <w:sz w:val="10"/>
              </w:rPr>
            </w:pPr>
            <w:r>
              <w:rPr>
                <w:sz w:val="10"/>
              </w:rPr>
              <w:t>Inversión</w:t>
            </w:r>
            <w:r>
              <w:rPr>
                <w:spacing w:val="-4"/>
                <w:sz w:val="10"/>
              </w:rPr>
              <w:t> </w:t>
            </w:r>
            <w:r>
              <w:rPr>
                <w:sz w:val="10"/>
              </w:rPr>
              <w:t>Pública</w:t>
            </w:r>
          </w:p>
          <w:p>
            <w:pPr>
              <w:pStyle w:val="TableParagraph"/>
              <w:spacing w:before="6"/>
              <w:rPr>
                <w:sz w:val="12"/>
              </w:rPr>
            </w:pPr>
          </w:p>
          <w:p>
            <w:pPr>
              <w:pStyle w:val="TableParagraph"/>
              <w:spacing w:line="369" w:lineRule="auto"/>
              <w:ind w:left="285" w:right="50"/>
              <w:jc w:val="both"/>
              <w:rPr>
                <w:sz w:val="10"/>
              </w:rPr>
            </w:pPr>
            <w:r>
              <w:rPr>
                <w:sz w:val="10"/>
              </w:rPr>
              <w:t>Obra</w:t>
            </w:r>
            <w:r>
              <w:rPr>
                <w:spacing w:val="1"/>
                <w:sz w:val="10"/>
              </w:rPr>
              <w:t> </w:t>
            </w:r>
            <w:r>
              <w:rPr>
                <w:sz w:val="10"/>
              </w:rPr>
              <w:t>Pública</w:t>
            </w:r>
            <w:r>
              <w:rPr>
                <w:spacing w:val="1"/>
                <w:sz w:val="10"/>
              </w:rPr>
              <w:t> </w:t>
            </w:r>
            <w:r>
              <w:rPr>
                <w:sz w:val="10"/>
              </w:rPr>
              <w:t>en</w:t>
            </w:r>
            <w:r>
              <w:rPr>
                <w:spacing w:val="1"/>
                <w:sz w:val="10"/>
              </w:rPr>
              <w:t> </w:t>
            </w:r>
            <w:r>
              <w:rPr>
                <w:sz w:val="10"/>
              </w:rPr>
              <w:t>Bienes</w:t>
            </w:r>
            <w:r>
              <w:rPr>
                <w:spacing w:val="1"/>
                <w:sz w:val="10"/>
              </w:rPr>
              <w:t> </w:t>
            </w:r>
            <w:r>
              <w:rPr>
                <w:sz w:val="10"/>
              </w:rPr>
              <w:t>de</w:t>
            </w:r>
            <w:r>
              <w:rPr>
                <w:spacing w:val="1"/>
                <w:sz w:val="10"/>
              </w:rPr>
              <w:t> </w:t>
            </w:r>
            <w:r>
              <w:rPr>
                <w:sz w:val="10"/>
              </w:rPr>
              <w:t>Dominio</w:t>
            </w:r>
            <w:r>
              <w:rPr>
                <w:spacing w:val="-3"/>
                <w:sz w:val="10"/>
              </w:rPr>
              <w:t> </w:t>
            </w:r>
            <w:r>
              <w:rPr>
                <w:sz w:val="10"/>
              </w:rPr>
              <w:t>Publico</w:t>
            </w:r>
          </w:p>
          <w:p>
            <w:pPr>
              <w:pStyle w:val="TableParagraph"/>
              <w:spacing w:before="78"/>
              <w:ind w:left="285"/>
              <w:rPr>
                <w:sz w:val="10"/>
              </w:rPr>
            </w:pPr>
            <w:r>
              <w:rPr>
                <w:sz w:val="10"/>
              </w:rPr>
              <w:t>Obra</w:t>
            </w:r>
            <w:r>
              <w:rPr>
                <w:spacing w:val="-1"/>
                <w:sz w:val="10"/>
              </w:rPr>
              <w:t> </w:t>
            </w:r>
            <w:r>
              <w:rPr>
                <w:sz w:val="10"/>
              </w:rPr>
              <w:t>Pública</w:t>
            </w:r>
            <w:r>
              <w:rPr>
                <w:spacing w:val="-3"/>
                <w:sz w:val="10"/>
              </w:rPr>
              <w:t> </w:t>
            </w:r>
            <w:r>
              <w:rPr>
                <w:sz w:val="10"/>
              </w:rPr>
              <w:t>en Bienes</w:t>
            </w:r>
            <w:r>
              <w:rPr>
                <w:spacing w:val="-2"/>
                <w:sz w:val="10"/>
              </w:rPr>
              <w:t> </w:t>
            </w:r>
            <w:r>
              <w:rPr>
                <w:sz w:val="10"/>
              </w:rPr>
              <w:t>Propios</w:t>
            </w:r>
          </w:p>
          <w:p>
            <w:pPr>
              <w:pStyle w:val="TableParagraph"/>
              <w:spacing w:before="6"/>
              <w:rPr>
                <w:sz w:val="12"/>
              </w:rPr>
            </w:pPr>
          </w:p>
          <w:p>
            <w:pPr>
              <w:pStyle w:val="TableParagraph"/>
              <w:tabs>
                <w:tab w:pos="949" w:val="left" w:leader="none"/>
                <w:tab w:pos="1693" w:val="left" w:leader="none"/>
              </w:tabs>
              <w:spacing w:line="369" w:lineRule="auto"/>
              <w:ind w:left="285" w:right="51"/>
              <w:rPr>
                <w:sz w:val="10"/>
              </w:rPr>
            </w:pPr>
            <w:r>
              <w:rPr>
                <w:sz w:val="10"/>
              </w:rPr>
              <w:t>Proyectos</w:t>
              <w:tab/>
              <w:t>Productivos</w:t>
              <w:tab/>
            </w:r>
            <w:r>
              <w:rPr>
                <w:spacing w:val="-4"/>
                <w:sz w:val="10"/>
              </w:rPr>
              <w:t>y</w:t>
            </w:r>
            <w:r>
              <w:rPr>
                <w:spacing w:val="-25"/>
                <w:sz w:val="10"/>
              </w:rPr>
              <w:t> </w:t>
            </w:r>
            <w:r>
              <w:rPr>
                <w:sz w:val="10"/>
              </w:rPr>
              <w:t>Acciones</w:t>
            </w:r>
            <w:r>
              <w:rPr>
                <w:spacing w:val="-2"/>
                <w:sz w:val="10"/>
              </w:rPr>
              <w:t> </w:t>
            </w:r>
            <w:r>
              <w:rPr>
                <w:sz w:val="10"/>
              </w:rPr>
              <w:t>de Fomento</w:t>
            </w:r>
          </w:p>
          <w:p>
            <w:pPr>
              <w:pStyle w:val="TableParagraph"/>
              <w:spacing w:line="369" w:lineRule="auto" w:before="83"/>
              <w:ind w:left="69"/>
              <w:rPr>
                <w:sz w:val="10"/>
              </w:rPr>
            </w:pPr>
            <w:r>
              <w:rPr>
                <w:sz w:val="10"/>
              </w:rPr>
              <w:t>Inversiones</w:t>
            </w:r>
            <w:r>
              <w:rPr>
                <w:spacing w:val="3"/>
                <w:sz w:val="10"/>
              </w:rPr>
              <w:t> </w:t>
            </w:r>
            <w:r>
              <w:rPr>
                <w:sz w:val="10"/>
              </w:rPr>
              <w:t>Financieras</w:t>
            </w:r>
            <w:r>
              <w:rPr>
                <w:spacing w:val="3"/>
                <w:sz w:val="10"/>
              </w:rPr>
              <w:t> </w:t>
            </w:r>
            <w:r>
              <w:rPr>
                <w:sz w:val="10"/>
              </w:rPr>
              <w:t>y</w:t>
            </w:r>
            <w:r>
              <w:rPr>
                <w:spacing w:val="6"/>
                <w:sz w:val="10"/>
              </w:rPr>
              <w:t> </w:t>
            </w:r>
            <w:r>
              <w:rPr>
                <w:sz w:val="10"/>
              </w:rPr>
              <w:t>Otras</w:t>
            </w:r>
            <w:r>
              <w:rPr>
                <w:spacing w:val="-25"/>
                <w:sz w:val="10"/>
              </w:rPr>
              <w:t> </w:t>
            </w:r>
            <w:r>
              <w:rPr>
                <w:sz w:val="10"/>
              </w:rPr>
              <w:t>Provisiones</w:t>
            </w:r>
          </w:p>
          <w:p>
            <w:pPr>
              <w:pStyle w:val="TableParagraph"/>
              <w:spacing w:line="369" w:lineRule="auto" w:before="80"/>
              <w:ind w:left="285" w:right="39"/>
              <w:rPr>
                <w:sz w:val="10"/>
              </w:rPr>
            </w:pPr>
            <w:r>
              <w:rPr>
                <w:sz w:val="10"/>
              </w:rPr>
              <w:t>Inversiones</w:t>
            </w:r>
            <w:r>
              <w:rPr>
                <w:spacing w:val="9"/>
                <w:sz w:val="10"/>
              </w:rPr>
              <w:t> </w:t>
            </w:r>
            <w:r>
              <w:rPr>
                <w:sz w:val="10"/>
              </w:rPr>
              <w:t>para</w:t>
            </w:r>
            <w:r>
              <w:rPr>
                <w:spacing w:val="12"/>
                <w:sz w:val="10"/>
              </w:rPr>
              <w:t> </w:t>
            </w:r>
            <w:r>
              <w:rPr>
                <w:sz w:val="10"/>
              </w:rPr>
              <w:t>el</w:t>
            </w:r>
            <w:r>
              <w:rPr>
                <w:spacing w:val="14"/>
                <w:sz w:val="10"/>
              </w:rPr>
              <w:t> </w:t>
            </w:r>
            <w:r>
              <w:rPr>
                <w:sz w:val="10"/>
              </w:rPr>
              <w:t>Fomento</w:t>
            </w:r>
            <w:r>
              <w:rPr>
                <w:spacing w:val="11"/>
                <w:sz w:val="10"/>
              </w:rPr>
              <w:t> </w:t>
            </w:r>
            <w:r>
              <w:rPr>
                <w:sz w:val="10"/>
              </w:rPr>
              <w:t>de</w:t>
            </w:r>
            <w:r>
              <w:rPr>
                <w:spacing w:val="-24"/>
                <w:sz w:val="10"/>
              </w:rPr>
              <w:t> </w:t>
            </w:r>
            <w:r>
              <w:rPr>
                <w:sz w:val="10"/>
              </w:rPr>
              <w:t>Actividades</w:t>
            </w:r>
            <w:r>
              <w:rPr>
                <w:spacing w:val="-2"/>
                <w:sz w:val="10"/>
              </w:rPr>
              <w:t> </w:t>
            </w:r>
            <w:r>
              <w:rPr>
                <w:sz w:val="10"/>
              </w:rPr>
              <w:t>Productivas</w:t>
            </w:r>
          </w:p>
          <w:p>
            <w:pPr>
              <w:pStyle w:val="TableParagraph"/>
              <w:spacing w:line="369" w:lineRule="auto" w:before="83"/>
              <w:ind w:left="285"/>
              <w:rPr>
                <w:sz w:val="10"/>
              </w:rPr>
            </w:pPr>
            <w:r>
              <w:rPr>
                <w:sz w:val="10"/>
              </w:rPr>
              <w:t>Acciones</w:t>
            </w:r>
            <w:r>
              <w:rPr>
                <w:spacing w:val="10"/>
                <w:sz w:val="10"/>
              </w:rPr>
              <w:t> </w:t>
            </w:r>
            <w:r>
              <w:rPr>
                <w:sz w:val="10"/>
              </w:rPr>
              <w:t>y</w:t>
            </w:r>
            <w:r>
              <w:rPr>
                <w:spacing w:val="13"/>
                <w:sz w:val="10"/>
              </w:rPr>
              <w:t> </w:t>
            </w:r>
            <w:r>
              <w:rPr>
                <w:sz w:val="10"/>
              </w:rPr>
              <w:t>Participaciones</w:t>
            </w:r>
            <w:r>
              <w:rPr>
                <w:spacing w:val="10"/>
                <w:sz w:val="10"/>
              </w:rPr>
              <w:t> </w:t>
            </w:r>
            <w:r>
              <w:rPr>
                <w:sz w:val="10"/>
              </w:rPr>
              <w:t>de</w:t>
            </w:r>
            <w:r>
              <w:rPr>
                <w:spacing w:val="-25"/>
                <w:sz w:val="10"/>
              </w:rPr>
              <w:t> </w:t>
            </w:r>
            <w:r>
              <w:rPr>
                <w:sz w:val="10"/>
              </w:rPr>
              <w:t>Capital</w:t>
            </w:r>
          </w:p>
          <w:p>
            <w:pPr>
              <w:pStyle w:val="TableParagraph"/>
              <w:spacing w:line="530" w:lineRule="auto" w:before="80"/>
              <w:ind w:left="285" w:right="224"/>
              <w:rPr>
                <w:sz w:val="10"/>
              </w:rPr>
            </w:pPr>
            <w:r>
              <w:rPr>
                <w:sz w:val="10"/>
              </w:rPr>
              <w:t>Compra de Títulos y Valores</w:t>
            </w:r>
            <w:r>
              <w:rPr>
                <w:spacing w:val="-25"/>
                <w:sz w:val="10"/>
              </w:rPr>
              <w:t> </w:t>
            </w:r>
            <w:r>
              <w:rPr>
                <w:sz w:val="10"/>
              </w:rPr>
              <w:t>Concesión</w:t>
            </w:r>
            <w:r>
              <w:rPr>
                <w:spacing w:val="-1"/>
                <w:sz w:val="10"/>
              </w:rPr>
              <w:t> </w:t>
            </w:r>
            <w:r>
              <w:rPr>
                <w:sz w:val="10"/>
              </w:rPr>
              <w:t>de Préstamos</w:t>
            </w:r>
          </w:p>
          <w:p>
            <w:pPr>
              <w:pStyle w:val="TableParagraph"/>
              <w:spacing w:line="376" w:lineRule="auto" w:before="6"/>
              <w:ind w:left="285"/>
              <w:rPr>
                <w:sz w:val="10"/>
              </w:rPr>
            </w:pPr>
            <w:r>
              <w:rPr>
                <w:sz w:val="10"/>
              </w:rPr>
              <w:t>Inversiones</w:t>
            </w:r>
            <w:r>
              <w:rPr>
                <w:spacing w:val="1"/>
                <w:sz w:val="10"/>
              </w:rPr>
              <w:t> </w:t>
            </w:r>
            <w:r>
              <w:rPr>
                <w:sz w:val="10"/>
              </w:rPr>
              <w:t>en</w:t>
            </w:r>
            <w:r>
              <w:rPr>
                <w:spacing w:val="1"/>
                <w:sz w:val="10"/>
              </w:rPr>
              <w:t> </w:t>
            </w:r>
            <w:r>
              <w:rPr>
                <w:sz w:val="10"/>
              </w:rPr>
              <w:t>Fideicomisos,</w:t>
            </w:r>
            <w:r>
              <w:rPr>
                <w:spacing w:val="-25"/>
                <w:sz w:val="10"/>
              </w:rPr>
              <w:t> </w:t>
            </w:r>
            <w:r>
              <w:rPr>
                <w:sz w:val="10"/>
              </w:rPr>
              <w:t>Mandatos</w:t>
            </w:r>
            <w:r>
              <w:rPr>
                <w:spacing w:val="-3"/>
                <w:sz w:val="10"/>
              </w:rPr>
              <w:t> </w:t>
            </w:r>
            <w:r>
              <w:rPr>
                <w:sz w:val="10"/>
              </w:rPr>
              <w:t>y Otros</w:t>
            </w:r>
            <w:r>
              <w:rPr>
                <w:spacing w:val="-2"/>
                <w:sz w:val="10"/>
              </w:rPr>
              <w:t> </w:t>
            </w:r>
            <w:r>
              <w:rPr>
                <w:sz w:val="10"/>
              </w:rPr>
              <w:t>Análogos</w:t>
            </w:r>
          </w:p>
          <w:p>
            <w:pPr>
              <w:pStyle w:val="TableParagraph"/>
              <w:spacing w:before="68"/>
              <w:ind w:left="285"/>
              <w:rPr>
                <w:sz w:val="10"/>
              </w:rPr>
            </w:pPr>
            <w:r>
              <w:rPr>
                <w:sz w:val="10"/>
              </w:rPr>
              <w:t>Otras</w:t>
            </w:r>
            <w:r>
              <w:rPr>
                <w:spacing w:val="-4"/>
                <w:sz w:val="10"/>
              </w:rPr>
              <w:t> </w:t>
            </w:r>
            <w:r>
              <w:rPr>
                <w:sz w:val="10"/>
              </w:rPr>
              <w:t>Inversiones</w:t>
            </w:r>
            <w:r>
              <w:rPr>
                <w:spacing w:val="-4"/>
                <w:sz w:val="10"/>
              </w:rPr>
              <w:t> </w:t>
            </w:r>
            <w:r>
              <w:rPr>
                <w:sz w:val="10"/>
              </w:rPr>
              <w:t>Financieras</w:t>
            </w:r>
          </w:p>
          <w:p>
            <w:pPr>
              <w:pStyle w:val="TableParagraph"/>
              <w:spacing w:before="8"/>
              <w:rPr>
                <w:sz w:val="11"/>
              </w:rPr>
            </w:pPr>
          </w:p>
          <w:p>
            <w:pPr>
              <w:pStyle w:val="TableParagraph"/>
              <w:spacing w:line="376" w:lineRule="auto"/>
              <w:ind w:left="285" w:right="47"/>
              <w:rPr>
                <w:sz w:val="10"/>
              </w:rPr>
            </w:pPr>
            <w:r>
              <w:rPr>
                <w:sz w:val="10"/>
              </w:rPr>
              <w:t>Provisiones</w:t>
            </w:r>
            <w:r>
              <w:rPr>
                <w:spacing w:val="1"/>
                <w:sz w:val="10"/>
              </w:rPr>
              <w:t> </w:t>
            </w:r>
            <w:r>
              <w:rPr>
                <w:sz w:val="10"/>
              </w:rPr>
              <w:t>para</w:t>
            </w:r>
            <w:r>
              <w:rPr>
                <w:spacing w:val="27"/>
                <w:sz w:val="10"/>
              </w:rPr>
              <w:t> </w:t>
            </w:r>
            <w:r>
              <w:rPr>
                <w:sz w:val="10"/>
              </w:rPr>
              <w:t>Contingencias</w:t>
            </w:r>
            <w:r>
              <w:rPr>
                <w:spacing w:val="-25"/>
                <w:sz w:val="10"/>
              </w:rPr>
              <w:t> </w:t>
            </w:r>
            <w:r>
              <w:rPr>
                <w:sz w:val="10"/>
              </w:rPr>
              <w:t>y</w:t>
            </w:r>
            <w:r>
              <w:rPr>
                <w:spacing w:val="-1"/>
                <w:sz w:val="10"/>
              </w:rPr>
              <w:t> </w:t>
            </w:r>
            <w:r>
              <w:rPr>
                <w:sz w:val="10"/>
              </w:rPr>
              <w:t>Otras</w:t>
            </w:r>
            <w:r>
              <w:rPr>
                <w:spacing w:val="-3"/>
                <w:sz w:val="10"/>
              </w:rPr>
              <w:t> </w:t>
            </w:r>
            <w:r>
              <w:rPr>
                <w:sz w:val="10"/>
              </w:rPr>
              <w:t>Erogaciones</w:t>
            </w:r>
            <w:r>
              <w:rPr>
                <w:spacing w:val="-2"/>
                <w:sz w:val="10"/>
              </w:rPr>
              <w:t> </w:t>
            </w:r>
            <w:r>
              <w:rPr>
                <w:sz w:val="10"/>
              </w:rPr>
              <w:t>Especiales</w:t>
            </w:r>
          </w:p>
          <w:p>
            <w:pPr>
              <w:pStyle w:val="TableParagraph"/>
              <w:spacing w:line="520" w:lineRule="auto" w:before="71"/>
              <w:ind w:left="285" w:right="340" w:hanging="216"/>
              <w:rPr>
                <w:sz w:val="10"/>
              </w:rPr>
            </w:pPr>
            <w:r>
              <w:rPr>
                <w:sz w:val="10"/>
              </w:rPr>
              <w:t>Participaciones y Aportaciones</w:t>
            </w:r>
            <w:r>
              <w:rPr>
                <w:spacing w:val="-26"/>
                <w:sz w:val="10"/>
              </w:rPr>
              <w:t> </w:t>
            </w:r>
            <w:r>
              <w:rPr>
                <w:sz w:val="10"/>
              </w:rPr>
              <w:t>Participaciones</w:t>
            </w:r>
            <w:r>
              <w:rPr>
                <w:spacing w:val="1"/>
                <w:sz w:val="10"/>
              </w:rPr>
              <w:t> </w:t>
            </w:r>
            <w:r>
              <w:rPr>
                <w:sz w:val="10"/>
              </w:rPr>
              <w:t>Aportaciones</w:t>
            </w:r>
          </w:p>
          <w:p>
            <w:pPr>
              <w:pStyle w:val="TableParagraph"/>
              <w:spacing w:line="520" w:lineRule="auto"/>
              <w:ind w:left="69" w:right="1020" w:firstLine="215"/>
              <w:rPr>
                <w:sz w:val="10"/>
              </w:rPr>
            </w:pPr>
            <w:r>
              <w:rPr>
                <w:sz w:val="10"/>
              </w:rPr>
              <w:t>Convenios</w:t>
            </w:r>
            <w:r>
              <w:rPr>
                <w:spacing w:val="-25"/>
                <w:sz w:val="10"/>
              </w:rPr>
              <w:t> </w:t>
            </w:r>
            <w:r>
              <w:rPr>
                <w:sz w:val="10"/>
              </w:rPr>
              <w:t>Deuda Pública</w:t>
            </w:r>
          </w:p>
          <w:p>
            <w:pPr>
              <w:pStyle w:val="TableParagraph"/>
              <w:spacing w:line="376" w:lineRule="auto" w:before="1"/>
              <w:ind w:left="285" w:right="35"/>
              <w:rPr>
                <w:sz w:val="10"/>
              </w:rPr>
            </w:pPr>
            <w:r>
              <w:rPr>
                <w:spacing w:val="-1"/>
                <w:sz w:val="10"/>
              </w:rPr>
              <w:t>Amortización</w:t>
            </w:r>
            <w:r>
              <w:rPr>
                <w:spacing w:val="39"/>
                <w:sz w:val="10"/>
              </w:rPr>
              <w:t> </w:t>
            </w:r>
            <w:r>
              <w:rPr>
                <w:spacing w:val="39"/>
                <w:sz w:val="10"/>
              </w:rPr>
              <w:t> </w:t>
            </w:r>
            <w:r>
              <w:rPr>
                <w:sz w:val="10"/>
              </w:rPr>
              <w:t>de     la     </w:t>
            </w:r>
            <w:r>
              <w:rPr>
                <w:spacing w:val="-1"/>
                <w:sz w:val="10"/>
              </w:rPr>
              <w:t>Deuda</w:t>
            </w:r>
            <w:r>
              <w:rPr>
                <w:spacing w:val="-25"/>
                <w:sz w:val="10"/>
              </w:rPr>
              <w:t> </w:t>
            </w:r>
            <w:r>
              <w:rPr>
                <w:sz w:val="10"/>
              </w:rPr>
              <w:t>Pública</w:t>
            </w:r>
          </w:p>
          <w:p>
            <w:pPr>
              <w:pStyle w:val="TableParagraph"/>
              <w:spacing w:line="520" w:lineRule="auto" w:before="71"/>
              <w:ind w:left="285" w:right="46"/>
              <w:rPr>
                <w:sz w:val="10"/>
              </w:rPr>
            </w:pPr>
            <w:r>
              <w:rPr>
                <w:sz w:val="10"/>
              </w:rPr>
              <w:t>Intereses de la Deuda Pública</w:t>
            </w:r>
            <w:r>
              <w:rPr>
                <w:spacing w:val="1"/>
                <w:sz w:val="10"/>
              </w:rPr>
              <w:t> </w:t>
            </w:r>
            <w:r>
              <w:rPr>
                <w:sz w:val="10"/>
              </w:rPr>
              <w:t>Comisiones de la Deuda Pública</w:t>
            </w:r>
            <w:r>
              <w:rPr>
                <w:spacing w:val="-25"/>
                <w:sz w:val="10"/>
              </w:rPr>
              <w:t> </w:t>
            </w:r>
            <w:r>
              <w:rPr>
                <w:sz w:val="10"/>
              </w:rPr>
              <w:t>Gastos de la Deuda Pública</w:t>
            </w:r>
            <w:r>
              <w:rPr>
                <w:spacing w:val="1"/>
                <w:sz w:val="10"/>
              </w:rPr>
              <w:t> </w:t>
            </w:r>
            <w:r>
              <w:rPr>
                <w:sz w:val="10"/>
              </w:rPr>
              <w:t>Costo</w:t>
            </w:r>
            <w:r>
              <w:rPr>
                <w:spacing w:val="-1"/>
                <w:sz w:val="10"/>
              </w:rPr>
              <w:t> </w:t>
            </w:r>
            <w:r>
              <w:rPr>
                <w:sz w:val="10"/>
              </w:rPr>
              <w:t>por Coberturas</w:t>
            </w:r>
          </w:p>
          <w:p>
            <w:pPr>
              <w:pStyle w:val="TableParagraph"/>
              <w:ind w:left="285"/>
              <w:rPr>
                <w:sz w:val="10"/>
              </w:rPr>
            </w:pPr>
            <w:r>
              <w:rPr>
                <w:sz w:val="10"/>
              </w:rPr>
              <w:t>Apoyos</w:t>
            </w:r>
            <w:r>
              <w:rPr>
                <w:spacing w:val="-2"/>
                <w:sz w:val="10"/>
              </w:rPr>
              <w:t> </w:t>
            </w:r>
            <w:r>
              <w:rPr>
                <w:sz w:val="10"/>
              </w:rPr>
              <w:t>Financieros</w:t>
            </w:r>
          </w:p>
          <w:p>
            <w:pPr>
              <w:pStyle w:val="TableParagraph"/>
              <w:spacing w:before="8"/>
              <w:rPr>
                <w:sz w:val="11"/>
              </w:rPr>
            </w:pPr>
          </w:p>
          <w:p>
            <w:pPr>
              <w:pStyle w:val="TableParagraph"/>
              <w:spacing w:line="369" w:lineRule="auto"/>
              <w:ind w:left="69"/>
              <w:rPr>
                <w:sz w:val="10"/>
              </w:rPr>
            </w:pPr>
            <w:r>
              <w:rPr>
                <w:sz w:val="10"/>
              </w:rPr>
              <w:t>Adeudos</w:t>
            </w:r>
            <w:r>
              <w:rPr>
                <w:spacing w:val="1"/>
                <w:sz w:val="10"/>
              </w:rPr>
              <w:t> </w:t>
            </w:r>
            <w:r>
              <w:rPr>
                <w:sz w:val="10"/>
              </w:rPr>
              <w:t>de</w:t>
            </w:r>
            <w:r>
              <w:rPr>
                <w:spacing w:val="1"/>
                <w:sz w:val="10"/>
              </w:rPr>
              <w:t> </w:t>
            </w:r>
            <w:r>
              <w:rPr>
                <w:sz w:val="10"/>
              </w:rPr>
              <w:t>Ejercicios</w:t>
            </w:r>
            <w:r>
              <w:rPr>
                <w:spacing w:val="1"/>
                <w:sz w:val="10"/>
              </w:rPr>
              <w:t> </w:t>
            </w:r>
            <w:r>
              <w:rPr>
                <w:sz w:val="10"/>
              </w:rPr>
              <w:t>Fiscales</w:t>
            </w:r>
            <w:r>
              <w:rPr>
                <w:spacing w:val="-25"/>
                <w:sz w:val="10"/>
              </w:rPr>
              <w:t> </w:t>
            </w:r>
            <w:r>
              <w:rPr>
                <w:sz w:val="10"/>
              </w:rPr>
              <w:t>Anteriores</w:t>
            </w:r>
            <w:r>
              <w:rPr>
                <w:spacing w:val="-2"/>
                <w:sz w:val="10"/>
              </w:rPr>
              <w:t> </w:t>
            </w:r>
            <w:r>
              <w:rPr>
                <w:sz w:val="10"/>
              </w:rPr>
              <w:t>(ADEFAS)</w:t>
            </w:r>
          </w:p>
        </w:tc>
        <w:tc>
          <w:tcPr>
            <w:tcW w:w="490" w:type="dxa"/>
            <w:tcBorders>
              <w:top w:val="nil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80" w:type="dxa"/>
            <w:tcBorders>
              <w:top w:val="nil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90" w:type="dxa"/>
            <w:tcBorders>
              <w:top w:val="nil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92" w:type="dxa"/>
            <w:tcBorders>
              <w:top w:val="nil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90" w:type="dxa"/>
            <w:tcBorders>
              <w:top w:val="nil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92" w:type="dxa"/>
            <w:tcBorders>
              <w:top w:val="nil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92" w:type="dxa"/>
            <w:tcBorders>
              <w:top w:val="nil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89" w:type="dxa"/>
            <w:tcBorders>
              <w:top w:val="nil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542" w:type="dxa"/>
            <w:tcBorders>
              <w:top w:val="nil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50" w:type="dxa"/>
            <w:tcBorders>
              <w:top w:val="nil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595" w:type="dxa"/>
            <w:tcBorders>
              <w:top w:val="nil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24" w:type="dxa"/>
            <w:tcBorders>
              <w:top w:val="nil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595" w:type="dxa"/>
            <w:tcBorders>
              <w:top w:val="nil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</w:tr>
    </w:tbl>
    <w:p>
      <w:pPr>
        <w:pStyle w:val="BodyText"/>
        <w:ind w:left="0" w:firstLine="0"/>
        <w:jc w:val="left"/>
        <w:rPr>
          <w:sz w:val="19"/>
        </w:rPr>
      </w:pPr>
    </w:p>
    <w:p>
      <w:pPr>
        <w:pStyle w:val="BodyText"/>
        <w:spacing w:line="278" w:lineRule="auto" w:before="95"/>
        <w:ind w:left="139" w:right="131" w:firstLine="288"/>
      </w:pPr>
      <w:r>
        <w:rPr/>
        <w:t>En la Ciudad de México, Distrito Federal, siendo las doce horas con catorce minutos del día 27 de febrero</w:t>
      </w:r>
      <w:r>
        <w:rPr>
          <w:spacing w:val="1"/>
        </w:rPr>
        <w:t> </w:t>
      </w:r>
      <w:r>
        <w:rPr/>
        <w:t>del año dos mil trece, con fundamento en los artículos 11 de la Ley General de Contabilidad Gubernamental,</w:t>
      </w:r>
      <w:r>
        <w:rPr>
          <w:spacing w:val="1"/>
        </w:rPr>
        <w:t> </w:t>
      </w:r>
      <w:r>
        <w:rPr/>
        <w:t>12, fracción IV, y 64 del Reglamento Interior de la Secretaría de Hacienda y Crédito Público, el Titular de la</w:t>
      </w:r>
      <w:r>
        <w:rPr>
          <w:spacing w:val="1"/>
        </w:rPr>
        <w:t> </w:t>
      </w:r>
      <w:r>
        <w:rPr/>
        <w:t>Unidad de Contabilidad Gubernamental de la Subsecretaría de Egresos</w:t>
      </w:r>
      <w:r>
        <w:rPr>
          <w:spacing w:val="50"/>
        </w:rPr>
        <w:t> </w:t>
      </w:r>
      <w:r>
        <w:rPr/>
        <w:t>de la Secretaría de Hacienda y</w:t>
      </w:r>
      <w:r>
        <w:rPr>
          <w:spacing w:val="1"/>
        </w:rPr>
        <w:t> </w:t>
      </w:r>
      <w:r>
        <w:rPr/>
        <w:t>Crédito Público, en mi calidad de Secretario Técnico del Consejo Nacional de Armonización Contable, HAGO</w:t>
      </w:r>
      <w:r>
        <w:rPr>
          <w:spacing w:val="1"/>
        </w:rPr>
        <w:t> </w:t>
      </w:r>
      <w:r>
        <w:rPr/>
        <w:t>CONSTAR Y CERTIFICO que el documento consistente en 2 fojas útiles, impresas por anverso y reverso,</w:t>
      </w:r>
      <w:r>
        <w:rPr>
          <w:spacing w:val="1"/>
        </w:rPr>
        <w:t> </w:t>
      </w:r>
      <w:r>
        <w:rPr/>
        <w:t>rubricadas y cotejadas, denominado Norma para establecer la estructura del Calendario del Presupuesto de</w:t>
      </w:r>
      <w:r>
        <w:rPr>
          <w:spacing w:val="1"/>
        </w:rPr>
        <w:t> </w:t>
      </w:r>
      <w:r>
        <w:rPr/>
        <w:t>Egresos</w:t>
      </w:r>
      <w:r>
        <w:rPr>
          <w:spacing w:val="1"/>
        </w:rPr>
        <w:t> </w:t>
      </w:r>
      <w:r>
        <w:rPr/>
        <w:t>base</w:t>
      </w:r>
      <w:r>
        <w:rPr>
          <w:spacing w:val="1"/>
        </w:rPr>
        <w:t> </w:t>
      </w:r>
      <w:r>
        <w:rPr/>
        <w:t>mensual,</w:t>
      </w:r>
      <w:r>
        <w:rPr>
          <w:spacing w:val="1"/>
        </w:rPr>
        <w:t> </w:t>
      </w:r>
      <w:r>
        <w:rPr/>
        <w:t>corresponde</w:t>
      </w:r>
      <w:r>
        <w:rPr>
          <w:spacing w:val="1"/>
        </w:rPr>
        <w:t> </w:t>
      </w:r>
      <w:r>
        <w:rPr/>
        <w:t>con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texto</w:t>
      </w:r>
      <w:r>
        <w:rPr>
          <w:spacing w:val="1"/>
        </w:rPr>
        <w:t> </w:t>
      </w:r>
      <w:r>
        <w:rPr/>
        <w:t>aprobado</w:t>
      </w:r>
      <w:r>
        <w:rPr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Consejo</w:t>
      </w:r>
      <w:r>
        <w:rPr>
          <w:spacing w:val="1"/>
        </w:rPr>
        <w:t> </w:t>
      </w:r>
      <w:r>
        <w:rPr/>
        <w:t>Nacional</w:t>
      </w:r>
      <w:r>
        <w:rPr>
          <w:spacing w:val="1"/>
        </w:rPr>
        <w:t> </w:t>
      </w:r>
      <w:r>
        <w:rPr/>
        <w:t>de</w:t>
      </w:r>
      <w:r>
        <w:rPr>
          <w:spacing w:val="50"/>
        </w:rPr>
        <w:t> </w:t>
      </w:r>
      <w:r>
        <w:rPr/>
        <w:t>Armonización</w:t>
      </w:r>
      <w:r>
        <w:rPr>
          <w:spacing w:val="1"/>
        </w:rPr>
        <w:t> </w:t>
      </w:r>
      <w:r>
        <w:rPr/>
        <w:t>Contable,</w:t>
      </w:r>
      <w:r>
        <w:rPr>
          <w:spacing w:val="8"/>
        </w:rPr>
        <w:t> </w:t>
      </w:r>
      <w:r>
        <w:rPr/>
        <w:t>mismo</w:t>
      </w:r>
      <w:r>
        <w:rPr>
          <w:spacing w:val="8"/>
        </w:rPr>
        <w:t> </w:t>
      </w:r>
      <w:r>
        <w:rPr/>
        <w:t>que</w:t>
      </w:r>
      <w:r>
        <w:rPr>
          <w:spacing w:val="10"/>
        </w:rPr>
        <w:t> </w:t>
      </w:r>
      <w:r>
        <w:rPr/>
        <w:t>estuvo</w:t>
      </w:r>
      <w:r>
        <w:rPr>
          <w:spacing w:val="8"/>
        </w:rPr>
        <w:t> </w:t>
      </w:r>
      <w:r>
        <w:rPr/>
        <w:t>a</w:t>
      </w:r>
      <w:r>
        <w:rPr>
          <w:spacing w:val="10"/>
        </w:rPr>
        <w:t> </w:t>
      </w:r>
      <w:r>
        <w:rPr/>
        <w:t>la</w:t>
      </w:r>
      <w:r>
        <w:rPr>
          <w:spacing w:val="8"/>
        </w:rPr>
        <w:t> </w:t>
      </w:r>
      <w:r>
        <w:rPr/>
        <w:t>vista</w:t>
      </w:r>
      <w:r>
        <w:rPr>
          <w:spacing w:val="9"/>
        </w:rPr>
        <w:t> </w:t>
      </w:r>
      <w:r>
        <w:rPr/>
        <w:t>de</w:t>
      </w:r>
      <w:r>
        <w:rPr>
          <w:spacing w:val="9"/>
        </w:rPr>
        <w:t> </w:t>
      </w:r>
      <w:r>
        <w:rPr/>
        <w:t>los</w:t>
      </w:r>
      <w:r>
        <w:rPr>
          <w:spacing w:val="11"/>
        </w:rPr>
        <w:t> </w:t>
      </w:r>
      <w:r>
        <w:rPr/>
        <w:t>integrantes</w:t>
      </w:r>
      <w:r>
        <w:rPr>
          <w:spacing w:val="8"/>
        </w:rPr>
        <w:t> </w:t>
      </w:r>
      <w:r>
        <w:rPr/>
        <w:t>de</w:t>
      </w:r>
      <w:r>
        <w:rPr>
          <w:spacing w:val="10"/>
        </w:rPr>
        <w:t> </w:t>
      </w:r>
      <w:r>
        <w:rPr/>
        <w:t>dicho</w:t>
      </w:r>
      <w:r>
        <w:rPr>
          <w:spacing w:val="8"/>
        </w:rPr>
        <w:t> </w:t>
      </w:r>
      <w:r>
        <w:rPr/>
        <w:t>Consejo</w:t>
      </w:r>
      <w:r>
        <w:rPr>
          <w:spacing w:val="8"/>
        </w:rPr>
        <w:t> </w:t>
      </w:r>
      <w:r>
        <w:rPr/>
        <w:t>en</w:t>
      </w:r>
      <w:r>
        <w:rPr>
          <w:spacing w:val="8"/>
        </w:rPr>
        <w:t> </w:t>
      </w:r>
      <w:r>
        <w:rPr/>
        <w:t>su</w:t>
      </w:r>
      <w:r>
        <w:rPr>
          <w:spacing w:val="8"/>
        </w:rPr>
        <w:t> </w:t>
      </w:r>
      <w:r>
        <w:rPr/>
        <w:t>primera</w:t>
      </w:r>
      <w:r>
        <w:rPr>
          <w:spacing w:val="11"/>
        </w:rPr>
        <w:t> </w:t>
      </w:r>
      <w:r>
        <w:rPr/>
        <w:t>reunión</w:t>
      </w:r>
      <w:r>
        <w:rPr>
          <w:spacing w:val="8"/>
        </w:rPr>
        <w:t> </w:t>
      </w:r>
      <w:r>
        <w:rPr/>
        <w:t>celebrada,</w:t>
      </w:r>
      <w:r>
        <w:rPr>
          <w:spacing w:val="1"/>
        </w:rPr>
        <w:t> </w:t>
      </w:r>
      <w:r>
        <w:rPr/>
        <w:t>en segunda convocatoria, este 27 de febrero del presente año, situación que se certifica para los efectos</w:t>
      </w:r>
      <w:r>
        <w:rPr>
          <w:spacing w:val="1"/>
        </w:rPr>
        <w:t> </w:t>
      </w:r>
      <w:r>
        <w:rPr/>
        <w:t>legales conducentes.- El Secretario Técnico del Consejo Nacional de Armonización Contable, </w:t>
      </w:r>
      <w:r>
        <w:rPr>
          <w:rFonts w:ascii="Arial" w:hAnsi="Arial"/>
          <w:b/>
        </w:rPr>
        <w:t>Juan Manuel</w:t>
      </w:r>
      <w:r>
        <w:rPr>
          <w:rFonts w:ascii="Arial" w:hAnsi="Arial"/>
          <w:b/>
          <w:spacing w:val="1"/>
        </w:rPr>
        <w:t> </w:t>
      </w:r>
      <w:r>
        <w:rPr>
          <w:rFonts w:ascii="Arial" w:hAnsi="Arial"/>
          <w:b/>
        </w:rPr>
        <w:t>Alcocer</w:t>
      </w:r>
      <w:r>
        <w:rPr>
          <w:rFonts w:ascii="Arial" w:hAnsi="Arial"/>
          <w:b/>
          <w:spacing w:val="-1"/>
        </w:rPr>
        <w:t> </w:t>
      </w:r>
      <w:r>
        <w:rPr>
          <w:rFonts w:ascii="Arial" w:hAnsi="Arial"/>
          <w:b/>
        </w:rPr>
        <w:t>Gamba</w:t>
      </w:r>
      <w:r>
        <w:rPr/>
        <w:t>.- Rúbrica.</w:t>
      </w:r>
    </w:p>
    <w:sectPr>
      <w:pgSz w:w="12240" w:h="15840"/>
      <w:pgMar w:top="1140" w:bottom="280" w:left="1560" w:right="15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  <w:font w:name="Arial MT">
    <w:altName w:val="Arial MT"/>
    <w:charset w:val="1"/>
    <w:family w:val="swiss"/>
    <w:pitch w:val="variable"/>
  </w:font>
  <w:font w:name="Arial">
    <w:altName w:val="Arial"/>
    <w:charset w:val="1"/>
    <w:family w:val="swiss"/>
    <w:pitch w:val="variable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multiLevelType w:val="hybridMultilevel"/>
    <w:lvl w:ilvl="0">
      <w:start w:val="1"/>
      <w:numFmt w:val="decimal"/>
      <w:lvlText w:val="%1."/>
      <w:lvlJc w:val="left"/>
      <w:pPr>
        <w:ind w:left="859" w:hanging="432"/>
        <w:jc w:val="left"/>
      </w:pPr>
      <w:rPr>
        <w:rFonts w:hint="default" w:ascii="Arial MT" w:hAnsi="Arial MT" w:eastAsia="Arial MT" w:cs="Arial MT"/>
        <w:w w:val="100"/>
        <w:sz w:val="18"/>
        <w:szCs w:val="18"/>
        <w:lang w:val="es-ES" w:eastAsia="en-US" w:bidi="ar-SA"/>
      </w:rPr>
    </w:lvl>
    <w:lvl w:ilvl="1">
      <w:start w:val="1"/>
      <w:numFmt w:val="lowerLetter"/>
      <w:lvlText w:val="%2)"/>
      <w:lvlJc w:val="left"/>
      <w:pPr>
        <w:ind w:left="1219" w:hanging="360"/>
        <w:jc w:val="left"/>
      </w:pPr>
      <w:rPr>
        <w:rFonts w:hint="default" w:ascii="Arial MT" w:hAnsi="Arial MT" w:eastAsia="Arial MT" w:cs="Arial MT"/>
        <w:w w:val="99"/>
        <w:sz w:val="18"/>
        <w:szCs w:val="18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097" w:hanging="360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2975" w:hanging="360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3853" w:hanging="360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4731" w:hanging="360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5608" w:hanging="360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6486" w:hanging="360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7364" w:hanging="360"/>
      </w:pPr>
      <w:rPr>
        <w:rFonts w:hint="default"/>
        <w:lang w:val="es-ES" w:eastAsia="en-US" w:bidi="ar-SA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Arial MT" w:hAnsi="Arial MT" w:eastAsia="Arial MT" w:cs="Arial MT"/>
      <w:lang w:val="es-ES" w:eastAsia="en-US" w:bidi="ar-SA"/>
    </w:rPr>
  </w:style>
  <w:style w:styleId="BodyText" w:type="paragraph">
    <w:name w:val="Body Text"/>
    <w:basedOn w:val="Normal"/>
    <w:uiPriority w:val="1"/>
    <w:qFormat/>
    <w:pPr>
      <w:ind w:left="859" w:hanging="432"/>
      <w:jc w:val="both"/>
    </w:pPr>
    <w:rPr>
      <w:rFonts w:ascii="Arial MT" w:hAnsi="Arial MT" w:eastAsia="Arial MT" w:cs="Arial MT"/>
      <w:sz w:val="18"/>
      <w:szCs w:val="18"/>
      <w:lang w:val="es-ES" w:eastAsia="en-US" w:bidi="ar-SA"/>
    </w:rPr>
  </w:style>
  <w:style w:styleId="Heading1" w:type="paragraph">
    <w:name w:val="Heading 1"/>
    <w:basedOn w:val="Normal"/>
    <w:uiPriority w:val="1"/>
    <w:qFormat/>
    <w:pPr>
      <w:spacing w:before="105"/>
      <w:ind w:left="427"/>
      <w:outlineLvl w:val="1"/>
    </w:pPr>
    <w:rPr>
      <w:rFonts w:ascii="Arial" w:hAnsi="Arial" w:eastAsia="Arial" w:cs="Arial"/>
      <w:b/>
      <w:bCs/>
      <w:sz w:val="18"/>
      <w:szCs w:val="18"/>
      <w:lang w:val="es-ES" w:eastAsia="en-US" w:bidi="ar-SA"/>
    </w:rPr>
  </w:style>
  <w:style w:styleId="ListParagraph" w:type="paragraph">
    <w:name w:val="List Paragraph"/>
    <w:basedOn w:val="Normal"/>
    <w:uiPriority w:val="1"/>
    <w:qFormat/>
    <w:pPr>
      <w:spacing w:before="79"/>
      <w:ind w:left="859" w:hanging="432"/>
      <w:jc w:val="both"/>
    </w:pPr>
    <w:rPr>
      <w:rFonts w:ascii="Arial MT" w:hAnsi="Arial MT" w:eastAsia="Arial MT" w:cs="Arial MT"/>
      <w:lang w:val="es-ES" w:eastAsia="en-US" w:bidi="ar-SA"/>
    </w:rPr>
  </w:style>
  <w:style w:styleId="TableParagraph" w:type="paragraph">
    <w:name w:val="Table Paragraph"/>
    <w:basedOn w:val="Normal"/>
    <w:uiPriority w:val="1"/>
    <w:qFormat/>
    <w:pPr/>
    <w:rPr>
      <w:rFonts w:ascii="Arial MT" w:hAnsi="Arial MT" w:eastAsia="Arial MT" w:cs="Arial MT"/>
      <w:lang w:val="es-ES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numbering" Target="numbering.xml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julio_dominguez</dc:creator>
  <dcterms:created xsi:type="dcterms:W3CDTF">2022-02-01T22:15:10Z</dcterms:created>
  <dcterms:modified xsi:type="dcterms:W3CDTF">2022-02-01T22:15:10Z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2014-11-21T00:00:00Z</vt:filetime>
  </property>
  <property fmtid="{D5CDD505-2E9C-101B-9397-08002B2CF9AE}" pid="3" name="Creator">
    <vt:lpwstr>Microsoft® Word 2010</vt:lpwstr>
  </property>
  <property fmtid="{D5CDD505-2E9C-101B-9397-08002B2CF9AE}" pid="4" name="LastSaved">
    <vt:filetime>2022-02-01T00:00:00Z</vt:filetime>
  </property>
</Properties>
</file>