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72" w:after="19"/>
        <w:ind w:right="139"/>
        <w:rPr>
          <w:rFonts w:ascii="Times New Roman" w:hAnsi="Times New Roman"/>
        </w:rPr>
      </w:pPr>
      <w:r>
        <w:rPr>
          <w:rFonts w:ascii="Times New Roman" w:hAnsi="Times New Roman"/>
        </w:rPr>
        <w:t>LINEAMIENTOS</w:t>
      </w:r>
      <w:r>
        <w:rPr>
          <w:rFonts w:ascii="Times New Roman" w:hAnsi="Times New Roman"/>
          <w:spacing w:val="42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40"/>
        </w:rPr>
        <w:t> </w:t>
      </w:r>
      <w:r>
        <w:rPr>
          <w:rFonts w:ascii="Times New Roman" w:hAnsi="Times New Roman"/>
        </w:rPr>
        <w:t>información</w:t>
      </w:r>
      <w:r>
        <w:rPr>
          <w:rFonts w:ascii="Times New Roman" w:hAnsi="Times New Roman"/>
          <w:spacing w:val="42"/>
        </w:rPr>
        <w:t> </w:t>
      </w:r>
      <w:r>
        <w:rPr>
          <w:rFonts w:ascii="Times New Roman" w:hAnsi="Times New Roman"/>
        </w:rPr>
        <w:t>pública</w:t>
      </w:r>
      <w:r>
        <w:rPr>
          <w:rFonts w:ascii="Times New Roman" w:hAnsi="Times New Roman"/>
          <w:spacing w:val="40"/>
        </w:rPr>
        <w:t> </w:t>
      </w:r>
      <w:r>
        <w:rPr>
          <w:rFonts w:ascii="Times New Roman" w:hAnsi="Times New Roman"/>
        </w:rPr>
        <w:t>financiera</w:t>
      </w:r>
      <w:r>
        <w:rPr>
          <w:rFonts w:ascii="Times New Roman" w:hAnsi="Times New Roman"/>
          <w:spacing w:val="42"/>
        </w:rPr>
        <w:t> </w:t>
      </w:r>
      <w:r>
        <w:rPr>
          <w:rFonts w:ascii="Times New Roman" w:hAnsi="Times New Roman"/>
        </w:rPr>
        <w:t>para</w:t>
      </w:r>
      <w:r>
        <w:rPr>
          <w:rFonts w:ascii="Times New Roman" w:hAnsi="Times New Roman"/>
          <w:spacing w:val="43"/>
        </w:rPr>
        <w:t> </w:t>
      </w:r>
      <w:r>
        <w:rPr>
          <w:rFonts w:ascii="Times New Roman" w:hAnsi="Times New Roman"/>
        </w:rPr>
        <w:t>el</w:t>
      </w:r>
      <w:r>
        <w:rPr>
          <w:rFonts w:ascii="Times New Roman" w:hAnsi="Times New Roman"/>
          <w:spacing w:val="41"/>
        </w:rPr>
        <w:t> </w:t>
      </w:r>
      <w:r>
        <w:rPr>
          <w:rFonts w:ascii="Times New Roman" w:hAnsi="Times New Roman"/>
        </w:rPr>
        <w:t>Fondo</w:t>
      </w:r>
      <w:r>
        <w:rPr>
          <w:rFonts w:ascii="Times New Roman" w:hAnsi="Times New Roman"/>
          <w:spacing w:val="42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40"/>
        </w:rPr>
        <w:t> </w:t>
      </w:r>
      <w:r>
        <w:rPr>
          <w:rFonts w:ascii="Times New Roman" w:hAnsi="Times New Roman"/>
        </w:rPr>
        <w:t>Aportaciones</w:t>
      </w:r>
      <w:r>
        <w:rPr>
          <w:rFonts w:ascii="Times New Roman" w:hAnsi="Times New Roman"/>
          <w:spacing w:val="43"/>
        </w:rPr>
        <w:t> </w:t>
      </w:r>
      <w:r>
        <w:rPr>
          <w:rFonts w:ascii="Times New Roman" w:hAnsi="Times New Roman"/>
        </w:rPr>
        <w:t>para</w:t>
      </w:r>
      <w:r>
        <w:rPr>
          <w:rFonts w:ascii="Times New Roman" w:hAnsi="Times New Roman"/>
          <w:spacing w:val="40"/>
        </w:rPr>
        <w:t> </w:t>
      </w:r>
      <w:r>
        <w:rPr>
          <w:rFonts w:ascii="Times New Roman" w:hAnsi="Times New Roman"/>
        </w:rPr>
        <w:t>la</w:t>
      </w:r>
      <w:r>
        <w:rPr>
          <w:rFonts w:ascii="Times New Roman" w:hAnsi="Times New Roman"/>
          <w:spacing w:val="5"/>
        </w:rPr>
        <w:t> </w:t>
      </w:r>
      <w:r>
        <w:rPr>
          <w:rFonts w:ascii="Times New Roman" w:hAnsi="Times New Roman"/>
        </w:rPr>
        <w:t>Infraestructura</w:t>
      </w:r>
      <w:r>
        <w:rPr>
          <w:rFonts w:ascii="Times New Roman" w:hAnsi="Times New Roman"/>
          <w:spacing w:val="-42"/>
        </w:rPr>
        <w:t> </w:t>
      </w:r>
      <w:r>
        <w:rPr>
          <w:rFonts w:ascii="Times New Roman" w:hAnsi="Times New Roman"/>
        </w:rPr>
        <w:t>Social.</w:t>
      </w:r>
    </w:p>
    <w:p>
      <w:pPr>
        <w:pStyle w:val="BodyText"/>
        <w:spacing w:line="28" w:lineRule="exact"/>
        <w:ind w:left="110" w:firstLine="0"/>
        <w:jc w:val="left"/>
        <w:rPr>
          <w:rFonts w:ascii="Times New Roman"/>
          <w:sz w:val="2"/>
        </w:rPr>
      </w:pPr>
      <w:r>
        <w:rPr>
          <w:rFonts w:ascii="Times New Roman"/>
          <w:position w:val="0"/>
          <w:sz w:val="2"/>
        </w:rPr>
        <w:pict>
          <v:group style="width:445.05pt;height:1.45pt;mso-position-horizontal-relative:char;mso-position-vertical-relative:line" coordorigin="0,0" coordsize="8901,29">
            <v:rect style="position:absolute;left:0;top:0;width:8901;height:29" filled="true" fillcolor="#000000" stroked="false">
              <v:fill type="solid"/>
            </v:rect>
          </v:group>
        </w:pict>
      </w:r>
      <w:r>
        <w:rPr>
          <w:rFonts w:ascii="Times New Roman"/>
          <w:position w:val="0"/>
          <w:sz w:val="2"/>
        </w:rPr>
      </w:r>
    </w:p>
    <w:p>
      <w:pPr>
        <w:pStyle w:val="BodyText"/>
        <w:ind w:left="0" w:firstLine="0"/>
        <w:jc w:val="left"/>
        <w:rPr>
          <w:rFonts w:ascii="Times New Roman"/>
          <w:b/>
          <w:sz w:val="20"/>
        </w:rPr>
      </w:pPr>
    </w:p>
    <w:p>
      <w:pPr>
        <w:pStyle w:val="BodyText"/>
        <w:spacing w:line="256" w:lineRule="auto" w:before="94"/>
        <w:ind w:right="139"/>
        <w:jc w:val="left"/>
      </w:pPr>
      <w:r>
        <w:rPr/>
        <w:t>El</w:t>
      </w:r>
      <w:r>
        <w:rPr>
          <w:spacing w:val="1"/>
        </w:rPr>
        <w:t> </w:t>
      </w:r>
      <w:r>
        <w:rPr/>
        <w:t>Consejo</w:t>
      </w:r>
      <w:r>
        <w:rPr>
          <w:spacing w:val="2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Armonización</w:t>
      </w:r>
      <w:r>
        <w:rPr>
          <w:spacing w:val="1"/>
        </w:rPr>
        <w:t> </w:t>
      </w:r>
      <w:r>
        <w:rPr/>
        <w:t>Contable</w:t>
      </w:r>
      <w:r>
        <w:rPr>
          <w:spacing w:val="-1"/>
        </w:rPr>
        <w:t> </w:t>
      </w:r>
      <w:r>
        <w:rPr/>
        <w:t>con</w:t>
      </w:r>
      <w:r>
        <w:rPr>
          <w:spacing w:val="1"/>
        </w:rPr>
        <w:t> </w:t>
      </w:r>
      <w:r>
        <w:rPr/>
        <w:t>fundamento</w:t>
      </w:r>
      <w:r>
        <w:rPr>
          <w:spacing w:val="2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2"/>
        </w:rPr>
        <w:t> </w:t>
      </w:r>
      <w:r>
        <w:rPr/>
        <w:t>artículos</w:t>
      </w:r>
      <w:r>
        <w:rPr>
          <w:spacing w:val="1"/>
        </w:rPr>
        <w:t> </w:t>
      </w:r>
      <w:r>
        <w:rPr/>
        <w:t>6,</w:t>
      </w:r>
      <w:r>
        <w:rPr>
          <w:spacing w:val="1"/>
        </w:rPr>
        <w:t> </w:t>
      </w:r>
      <w:r>
        <w:rPr/>
        <w:t>7</w:t>
      </w:r>
      <w:r>
        <w:rPr>
          <w:spacing w:val="1"/>
        </w:rPr>
        <w:t> </w:t>
      </w:r>
      <w:r>
        <w:rPr/>
        <w:t>y 9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la</w:t>
      </w:r>
      <w:r>
        <w:rPr>
          <w:spacing w:val="1"/>
        </w:rPr>
        <w:t> </w:t>
      </w:r>
      <w:r>
        <w:rPr/>
        <w:t>Ley General</w:t>
      </w:r>
      <w:r>
        <w:rPr>
          <w:spacing w:val="-47"/>
        </w:rPr>
        <w:t> </w:t>
      </w:r>
      <w:r>
        <w:rPr/>
        <w:t>de</w:t>
      </w:r>
      <w:r>
        <w:rPr>
          <w:spacing w:val="-1"/>
        </w:rPr>
        <w:t> </w:t>
      </w:r>
      <w:r>
        <w:rPr/>
        <w:t>Contabilidad Gubernamental, aprobó</w:t>
      </w:r>
      <w:r>
        <w:rPr>
          <w:spacing w:val="-2"/>
        </w:rPr>
        <w:t> </w:t>
      </w:r>
      <w:r>
        <w:rPr/>
        <w:t>los</w:t>
      </w:r>
      <w:r>
        <w:rPr>
          <w:spacing w:val="4"/>
        </w:rPr>
        <w:t> </w:t>
      </w:r>
      <w:r>
        <w:rPr/>
        <w:t>siguientes:</w:t>
      </w:r>
    </w:p>
    <w:p>
      <w:pPr>
        <w:pStyle w:val="Heading1"/>
        <w:spacing w:line="254" w:lineRule="auto" w:before="100"/>
        <w:ind w:right="139" w:firstLine="288"/>
      </w:pPr>
      <w:r>
        <w:rPr/>
        <w:t>Lineamientos</w:t>
      </w:r>
      <w:r>
        <w:rPr>
          <w:spacing w:val="2"/>
        </w:rPr>
        <w:t> </w:t>
      </w:r>
      <w:r>
        <w:rPr/>
        <w:t>de</w:t>
      </w:r>
      <w:r>
        <w:rPr>
          <w:spacing w:val="3"/>
        </w:rPr>
        <w:t> </w:t>
      </w:r>
      <w:r>
        <w:rPr/>
        <w:t>información</w:t>
      </w:r>
      <w:r>
        <w:rPr>
          <w:spacing w:val="2"/>
        </w:rPr>
        <w:t> </w:t>
      </w:r>
      <w:r>
        <w:rPr/>
        <w:t>pública</w:t>
      </w:r>
      <w:r>
        <w:rPr>
          <w:spacing w:val="2"/>
        </w:rPr>
        <w:t> </w:t>
      </w:r>
      <w:r>
        <w:rPr/>
        <w:t>financiera</w:t>
      </w:r>
      <w:r>
        <w:rPr>
          <w:spacing w:val="2"/>
        </w:rPr>
        <w:t> </w:t>
      </w:r>
      <w:r>
        <w:rPr/>
        <w:t>para</w:t>
      </w:r>
      <w:r>
        <w:rPr>
          <w:spacing w:val="2"/>
        </w:rPr>
        <w:t> </w:t>
      </w:r>
      <w:r>
        <w:rPr/>
        <w:t>el</w:t>
      </w:r>
      <w:r>
        <w:rPr>
          <w:spacing w:val="2"/>
        </w:rPr>
        <w:t> </w:t>
      </w:r>
      <w:r>
        <w:rPr/>
        <w:t>Fondo</w:t>
      </w:r>
      <w:r>
        <w:rPr>
          <w:spacing w:val="2"/>
        </w:rPr>
        <w:t> </w:t>
      </w:r>
      <w:r>
        <w:rPr/>
        <w:t>de</w:t>
      </w:r>
      <w:r>
        <w:rPr>
          <w:spacing w:val="3"/>
        </w:rPr>
        <w:t> </w:t>
      </w:r>
      <w:r>
        <w:rPr/>
        <w:t>Aportaciones</w:t>
      </w:r>
      <w:r>
        <w:rPr>
          <w:spacing w:val="2"/>
        </w:rPr>
        <w:t> </w:t>
      </w:r>
      <w:r>
        <w:rPr/>
        <w:t>para</w:t>
      </w:r>
      <w:r>
        <w:rPr>
          <w:spacing w:val="2"/>
        </w:rPr>
        <w:t> </w:t>
      </w:r>
      <w:r>
        <w:rPr/>
        <w:t>la</w:t>
      </w:r>
      <w:r>
        <w:rPr>
          <w:spacing w:val="-47"/>
        </w:rPr>
        <w:t> </w:t>
      </w:r>
      <w:r>
        <w:rPr/>
        <w:t>Infraestructura</w:t>
      </w:r>
      <w:r>
        <w:rPr>
          <w:spacing w:val="-1"/>
        </w:rPr>
        <w:t> </w:t>
      </w:r>
      <w:r>
        <w:rPr/>
        <w:t>Social</w:t>
      </w:r>
    </w:p>
    <w:p>
      <w:pPr>
        <w:spacing w:before="101"/>
        <w:ind w:left="427" w:right="0" w:firstLine="0"/>
        <w:jc w:val="left"/>
        <w:rPr>
          <w:rFonts w:ascii="Arial"/>
          <w:b/>
          <w:sz w:val="18"/>
        </w:rPr>
      </w:pPr>
      <w:r>
        <w:rPr>
          <w:rFonts w:ascii="Arial"/>
          <w:b/>
          <w:sz w:val="18"/>
        </w:rPr>
        <w:t>Objeto</w:t>
      </w:r>
    </w:p>
    <w:p>
      <w:pPr>
        <w:pStyle w:val="ListParagraph"/>
        <w:numPr>
          <w:ilvl w:val="0"/>
          <w:numId w:val="1"/>
        </w:numPr>
        <w:tabs>
          <w:tab w:pos="656" w:val="left" w:leader="none"/>
        </w:tabs>
        <w:spacing w:line="254" w:lineRule="auto" w:before="114" w:after="0"/>
        <w:ind w:left="139" w:right="135" w:firstLine="288"/>
        <w:jc w:val="both"/>
        <w:rPr>
          <w:sz w:val="18"/>
        </w:rPr>
      </w:pPr>
      <w:r>
        <w:rPr>
          <w:sz w:val="18"/>
        </w:rPr>
        <w:t>Establecer los lineamientos de información pública financiera para el Fondo de Aportaciones para la</w:t>
      </w:r>
      <w:r>
        <w:rPr>
          <w:spacing w:val="1"/>
          <w:sz w:val="18"/>
        </w:rPr>
        <w:t> </w:t>
      </w:r>
      <w:r>
        <w:rPr>
          <w:sz w:val="18"/>
        </w:rPr>
        <w:t>Infraestructura Social a que se refieren los incisos a) y c) de la fracción II del apartado B del artículo 33 de la</w:t>
      </w:r>
      <w:r>
        <w:rPr>
          <w:spacing w:val="1"/>
          <w:sz w:val="18"/>
        </w:rPr>
        <w:t> </w:t>
      </w:r>
      <w:r>
        <w:rPr>
          <w:sz w:val="18"/>
        </w:rPr>
        <w:t>Ley</w:t>
      </w:r>
      <w:r>
        <w:rPr>
          <w:spacing w:val="-3"/>
          <w:sz w:val="18"/>
        </w:rPr>
        <w:t> </w:t>
      </w:r>
      <w:r>
        <w:rPr>
          <w:sz w:val="18"/>
        </w:rPr>
        <w:t>de Coordinación Fiscal.</w:t>
      </w:r>
    </w:p>
    <w:p>
      <w:pPr>
        <w:pStyle w:val="Heading1"/>
        <w:spacing w:before="103"/>
        <w:ind w:left="427"/>
      </w:pPr>
      <w:r>
        <w:rPr/>
        <w:t>Ámbito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aplicación</w:t>
      </w:r>
    </w:p>
    <w:p>
      <w:pPr>
        <w:pStyle w:val="ListParagraph"/>
        <w:numPr>
          <w:ilvl w:val="0"/>
          <w:numId w:val="1"/>
        </w:numPr>
        <w:tabs>
          <w:tab w:pos="685" w:val="left" w:leader="none"/>
        </w:tabs>
        <w:spacing w:line="254" w:lineRule="auto" w:before="115" w:after="0"/>
        <w:ind w:left="139" w:right="144" w:firstLine="288"/>
        <w:jc w:val="both"/>
        <w:rPr>
          <w:sz w:val="18"/>
        </w:rPr>
      </w:pPr>
      <w:r>
        <w:rPr>
          <w:sz w:val="18"/>
        </w:rPr>
        <w:t>Las</w:t>
      </w:r>
      <w:r>
        <w:rPr>
          <w:spacing w:val="1"/>
          <w:sz w:val="18"/>
        </w:rPr>
        <w:t> </w:t>
      </w:r>
      <w:r>
        <w:rPr>
          <w:sz w:val="18"/>
        </w:rPr>
        <w:t>presentes</w:t>
      </w:r>
      <w:r>
        <w:rPr>
          <w:spacing w:val="1"/>
          <w:sz w:val="18"/>
        </w:rPr>
        <w:t> </w:t>
      </w:r>
      <w:r>
        <w:rPr>
          <w:sz w:val="18"/>
        </w:rPr>
        <w:t>disposiciones</w:t>
      </w:r>
      <w:r>
        <w:rPr>
          <w:spacing w:val="1"/>
          <w:sz w:val="18"/>
        </w:rPr>
        <w:t> </w:t>
      </w:r>
      <w:r>
        <w:rPr>
          <w:sz w:val="18"/>
        </w:rPr>
        <w:t>serán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observancia</w:t>
      </w:r>
      <w:r>
        <w:rPr>
          <w:spacing w:val="1"/>
          <w:sz w:val="18"/>
        </w:rPr>
        <w:t> </w:t>
      </w:r>
      <w:r>
        <w:rPr>
          <w:sz w:val="18"/>
        </w:rPr>
        <w:t>obligatoria</w:t>
      </w:r>
      <w:r>
        <w:rPr>
          <w:spacing w:val="1"/>
          <w:sz w:val="18"/>
        </w:rPr>
        <w:t> </w:t>
      </w:r>
      <w:r>
        <w:rPr>
          <w:sz w:val="18"/>
        </w:rPr>
        <w:t>para</w:t>
      </w:r>
      <w:r>
        <w:rPr>
          <w:spacing w:val="1"/>
          <w:sz w:val="18"/>
        </w:rPr>
        <w:t> </w:t>
      </w:r>
      <w:r>
        <w:rPr>
          <w:sz w:val="18"/>
        </w:rPr>
        <w:t>las</w:t>
      </w:r>
      <w:r>
        <w:rPr>
          <w:spacing w:val="1"/>
          <w:sz w:val="18"/>
        </w:rPr>
        <w:t> </w:t>
      </w:r>
      <w:r>
        <w:rPr>
          <w:sz w:val="18"/>
        </w:rPr>
        <w:t>entidades</w:t>
      </w:r>
      <w:r>
        <w:rPr>
          <w:spacing w:val="1"/>
          <w:sz w:val="18"/>
        </w:rPr>
        <w:t> </w:t>
      </w:r>
      <w:r>
        <w:rPr>
          <w:sz w:val="18"/>
        </w:rPr>
        <w:t>federativas,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-47"/>
          <w:sz w:val="18"/>
        </w:rPr>
        <w:t> </w:t>
      </w:r>
      <w:r>
        <w:rPr>
          <w:sz w:val="18"/>
        </w:rPr>
        <w:t>municipios y</w:t>
      </w:r>
      <w:r>
        <w:rPr>
          <w:spacing w:val="-1"/>
          <w:sz w:val="18"/>
        </w:rPr>
        <w:t> </w:t>
      </w:r>
      <w:r>
        <w:rPr>
          <w:sz w:val="18"/>
        </w:rPr>
        <w:t>las</w:t>
      </w:r>
      <w:r>
        <w:rPr>
          <w:spacing w:val="1"/>
          <w:sz w:val="18"/>
        </w:rPr>
        <w:t> </w:t>
      </w:r>
      <w:r>
        <w:rPr>
          <w:sz w:val="18"/>
        </w:rPr>
        <w:t>demarcaciones</w:t>
      </w:r>
      <w:r>
        <w:rPr>
          <w:spacing w:val="1"/>
          <w:sz w:val="18"/>
        </w:rPr>
        <w:t> </w:t>
      </w:r>
      <w:r>
        <w:rPr>
          <w:sz w:val="18"/>
        </w:rPr>
        <w:t>territoriales</w:t>
      </w:r>
      <w:r>
        <w:rPr>
          <w:spacing w:val="1"/>
          <w:sz w:val="18"/>
        </w:rPr>
        <w:t> </w:t>
      </w:r>
      <w:r>
        <w:rPr>
          <w:sz w:val="18"/>
        </w:rPr>
        <w:t>del</w:t>
      </w:r>
      <w:r>
        <w:rPr>
          <w:spacing w:val="-1"/>
          <w:sz w:val="18"/>
        </w:rPr>
        <w:t> </w:t>
      </w:r>
      <w:r>
        <w:rPr>
          <w:sz w:val="18"/>
        </w:rPr>
        <w:t>Distrito Federal.</w:t>
      </w:r>
    </w:p>
    <w:p>
      <w:pPr>
        <w:pStyle w:val="Heading1"/>
        <w:spacing w:line="256" w:lineRule="auto"/>
        <w:ind w:firstLine="288"/>
      </w:pPr>
      <w:r>
        <w:rPr/>
        <w:t>Lineamientos</w:t>
      </w:r>
      <w:r>
        <w:rPr>
          <w:spacing w:val="10"/>
        </w:rPr>
        <w:t> </w:t>
      </w:r>
      <w:r>
        <w:rPr/>
        <w:t>para</w:t>
      </w:r>
      <w:r>
        <w:rPr>
          <w:spacing w:val="8"/>
        </w:rPr>
        <w:t> </w:t>
      </w:r>
      <w:r>
        <w:rPr/>
        <w:t>dar</w:t>
      </w:r>
      <w:r>
        <w:rPr>
          <w:spacing w:val="10"/>
        </w:rPr>
        <w:t> </w:t>
      </w:r>
      <w:r>
        <w:rPr/>
        <w:t>a</w:t>
      </w:r>
      <w:r>
        <w:rPr>
          <w:spacing w:val="8"/>
        </w:rPr>
        <w:t> </w:t>
      </w:r>
      <w:r>
        <w:rPr/>
        <w:t>conocer</w:t>
      </w:r>
      <w:r>
        <w:rPr>
          <w:spacing w:val="10"/>
        </w:rPr>
        <w:t> </w:t>
      </w:r>
      <w:r>
        <w:rPr/>
        <w:t>los</w:t>
      </w:r>
      <w:r>
        <w:rPr>
          <w:spacing w:val="10"/>
        </w:rPr>
        <w:t> </w:t>
      </w:r>
      <w:r>
        <w:rPr/>
        <w:t>montos</w:t>
      </w:r>
      <w:r>
        <w:rPr>
          <w:spacing w:val="12"/>
        </w:rPr>
        <w:t> </w:t>
      </w:r>
      <w:r>
        <w:rPr/>
        <w:t>que</w:t>
      </w:r>
      <w:r>
        <w:rPr>
          <w:spacing w:val="10"/>
        </w:rPr>
        <w:t> </w:t>
      </w:r>
      <w:r>
        <w:rPr/>
        <w:t>reciban,</w:t>
      </w:r>
      <w:r>
        <w:rPr>
          <w:spacing w:val="11"/>
        </w:rPr>
        <w:t> </w:t>
      </w:r>
      <w:r>
        <w:rPr/>
        <w:t>las</w:t>
      </w:r>
      <w:r>
        <w:rPr>
          <w:spacing w:val="10"/>
        </w:rPr>
        <w:t> </w:t>
      </w:r>
      <w:r>
        <w:rPr/>
        <w:t>obras</w:t>
      </w:r>
      <w:r>
        <w:rPr>
          <w:spacing w:val="12"/>
        </w:rPr>
        <w:t> </w:t>
      </w:r>
      <w:r>
        <w:rPr/>
        <w:t>y</w:t>
      </w:r>
      <w:r>
        <w:rPr>
          <w:spacing w:val="3"/>
        </w:rPr>
        <w:t> </w:t>
      </w:r>
      <w:r>
        <w:rPr/>
        <w:t>acciones</w:t>
      </w:r>
      <w:r>
        <w:rPr>
          <w:spacing w:val="9"/>
        </w:rPr>
        <w:t> </w:t>
      </w:r>
      <w:r>
        <w:rPr/>
        <w:t>a</w:t>
      </w:r>
      <w:r>
        <w:rPr>
          <w:spacing w:val="10"/>
        </w:rPr>
        <w:t> </w:t>
      </w:r>
      <w:r>
        <w:rPr/>
        <w:t>realizar,</w:t>
      </w:r>
      <w:r>
        <w:rPr>
          <w:spacing w:val="11"/>
        </w:rPr>
        <w:t> </w:t>
      </w:r>
      <w:r>
        <w:rPr/>
        <w:t>el</w:t>
      </w:r>
      <w:r>
        <w:rPr>
          <w:spacing w:val="8"/>
        </w:rPr>
        <w:t> </w:t>
      </w:r>
      <w:r>
        <w:rPr/>
        <w:t>costo</w:t>
      </w:r>
      <w:r>
        <w:rPr>
          <w:spacing w:val="-47"/>
        </w:rPr>
        <w:t> </w:t>
      </w:r>
      <w:r>
        <w:rPr/>
        <w:t>de</w:t>
      </w:r>
      <w:r>
        <w:rPr>
          <w:spacing w:val="-1"/>
        </w:rPr>
        <w:t> </w:t>
      </w:r>
      <w:r>
        <w:rPr/>
        <w:t>cada una, su</w:t>
      </w:r>
      <w:r>
        <w:rPr>
          <w:spacing w:val="-2"/>
        </w:rPr>
        <w:t> </w:t>
      </w:r>
      <w:r>
        <w:rPr/>
        <w:t>ubicación,</w:t>
      </w:r>
      <w:r>
        <w:rPr>
          <w:spacing w:val="-2"/>
        </w:rPr>
        <w:t> </w:t>
      </w:r>
      <w:r>
        <w:rPr/>
        <w:t>metas</w:t>
      </w:r>
      <w:r>
        <w:rPr>
          <w:spacing w:val="3"/>
        </w:rPr>
        <w:t> </w:t>
      </w:r>
      <w:r>
        <w:rPr/>
        <w:t>y</w:t>
      </w:r>
      <w:r>
        <w:rPr>
          <w:spacing w:val="-9"/>
        </w:rPr>
        <w:t> </w:t>
      </w:r>
      <w:r>
        <w:rPr/>
        <w:t>beneficiarios</w:t>
      </w:r>
    </w:p>
    <w:p>
      <w:pPr>
        <w:pStyle w:val="ListParagraph"/>
        <w:numPr>
          <w:ilvl w:val="0"/>
          <w:numId w:val="1"/>
        </w:numPr>
        <w:tabs>
          <w:tab w:pos="637" w:val="left" w:leader="none"/>
        </w:tabs>
        <w:spacing w:line="254" w:lineRule="auto" w:before="100" w:after="0"/>
        <w:ind w:left="139" w:right="135" w:firstLine="288"/>
        <w:jc w:val="both"/>
        <w:rPr>
          <w:sz w:val="18"/>
        </w:rPr>
      </w:pPr>
      <w:r>
        <w:rPr>
          <w:sz w:val="18"/>
        </w:rPr>
        <w:t>A fin de dar cumplimiento a lo establecido en el inciso a) de la fracción II del apartado B del artículo 33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2"/>
          <w:sz w:val="18"/>
        </w:rPr>
        <w:t> </w:t>
      </w:r>
      <w:r>
        <w:rPr>
          <w:sz w:val="18"/>
        </w:rPr>
        <w:t>la</w:t>
      </w:r>
      <w:r>
        <w:rPr>
          <w:spacing w:val="3"/>
          <w:sz w:val="18"/>
        </w:rPr>
        <w:t> </w:t>
      </w:r>
      <w:r>
        <w:rPr>
          <w:sz w:val="18"/>
        </w:rPr>
        <w:t>Ley de</w:t>
      </w:r>
      <w:r>
        <w:rPr>
          <w:spacing w:val="3"/>
          <w:sz w:val="18"/>
        </w:rPr>
        <w:t> </w:t>
      </w:r>
      <w:r>
        <w:rPr>
          <w:sz w:val="18"/>
        </w:rPr>
        <w:t>Coordinación Fiscal</w:t>
      </w:r>
      <w:r>
        <w:rPr>
          <w:spacing w:val="3"/>
          <w:sz w:val="18"/>
        </w:rPr>
        <w:t> </w:t>
      </w:r>
      <w:r>
        <w:rPr>
          <w:sz w:val="18"/>
        </w:rPr>
        <w:t>que</w:t>
      </w:r>
      <w:r>
        <w:rPr>
          <w:spacing w:val="2"/>
          <w:sz w:val="18"/>
        </w:rPr>
        <w:t> </w:t>
      </w:r>
      <w:r>
        <w:rPr>
          <w:sz w:val="18"/>
        </w:rPr>
        <w:t>establece</w:t>
      </w:r>
      <w:r>
        <w:rPr>
          <w:spacing w:val="3"/>
          <w:sz w:val="18"/>
        </w:rPr>
        <w:t> </w:t>
      </w:r>
      <w:r>
        <w:rPr>
          <w:sz w:val="18"/>
        </w:rPr>
        <w:t>que</w:t>
      </w:r>
      <w:r>
        <w:rPr>
          <w:spacing w:val="1"/>
          <w:sz w:val="18"/>
        </w:rPr>
        <w:t> </w:t>
      </w:r>
      <w:r>
        <w:rPr>
          <w:sz w:val="18"/>
        </w:rPr>
        <w:t>es</w:t>
      </w:r>
      <w:r>
        <w:rPr>
          <w:spacing w:val="3"/>
          <w:sz w:val="18"/>
        </w:rPr>
        <w:t> </w:t>
      </w:r>
      <w:r>
        <w:rPr>
          <w:sz w:val="18"/>
        </w:rPr>
        <w:t>obligación</w:t>
      </w:r>
      <w:r>
        <w:rPr>
          <w:spacing w:val="3"/>
          <w:sz w:val="18"/>
        </w:rPr>
        <w:t> </w:t>
      </w:r>
      <w:r>
        <w:rPr>
          <w:sz w:val="18"/>
        </w:rPr>
        <w:t>de</w:t>
      </w:r>
      <w:r>
        <w:rPr>
          <w:spacing w:val="2"/>
          <w:sz w:val="18"/>
        </w:rPr>
        <w:t> </w:t>
      </w:r>
      <w:r>
        <w:rPr>
          <w:sz w:val="18"/>
        </w:rPr>
        <w:t>las</w:t>
      </w:r>
      <w:r>
        <w:rPr>
          <w:spacing w:val="4"/>
          <w:sz w:val="18"/>
        </w:rPr>
        <w:t> </w:t>
      </w:r>
      <w:r>
        <w:rPr>
          <w:sz w:val="18"/>
        </w:rPr>
        <w:t>entidades</w:t>
      </w:r>
      <w:r>
        <w:rPr>
          <w:spacing w:val="3"/>
          <w:sz w:val="18"/>
        </w:rPr>
        <w:t> </w:t>
      </w:r>
      <w:r>
        <w:rPr>
          <w:sz w:val="18"/>
        </w:rPr>
        <w:t>federativas,</w:t>
      </w:r>
      <w:r>
        <w:rPr>
          <w:spacing w:val="3"/>
          <w:sz w:val="18"/>
        </w:rPr>
        <w:t> </w:t>
      </w:r>
      <w:r>
        <w:rPr>
          <w:sz w:val="18"/>
        </w:rPr>
        <w:t>los</w:t>
      </w:r>
      <w:r>
        <w:rPr>
          <w:spacing w:val="3"/>
          <w:sz w:val="18"/>
        </w:rPr>
        <w:t> </w:t>
      </w:r>
      <w:r>
        <w:rPr>
          <w:sz w:val="18"/>
        </w:rPr>
        <w:t>municipios</w:t>
      </w:r>
      <w:r>
        <w:rPr>
          <w:spacing w:val="1"/>
          <w:sz w:val="18"/>
        </w:rPr>
        <w:t> </w:t>
      </w:r>
      <w:r>
        <w:rPr>
          <w:sz w:val="18"/>
        </w:rPr>
        <w:t>y demarcaciones territoriales del Distrito Federal “Hacer del conocimiento de sus habitantes, al menos a través</w:t>
      </w:r>
      <w:r>
        <w:rPr>
          <w:spacing w:val="-47"/>
          <w:sz w:val="18"/>
        </w:rPr>
        <w:t> </w:t>
      </w:r>
      <w:r>
        <w:rPr>
          <w:sz w:val="18"/>
        </w:rPr>
        <w:t>de la página oficial de Internet de la entidad federativa conforme a los lineamientos de información pública</w:t>
      </w:r>
      <w:r>
        <w:rPr>
          <w:spacing w:val="1"/>
          <w:sz w:val="18"/>
        </w:rPr>
        <w:t> </w:t>
      </w:r>
      <w:r>
        <w:rPr>
          <w:sz w:val="18"/>
        </w:rPr>
        <w:t>financiera en línea del Consejo de Armonización Contable, los montos que reciban, las obras y acciones a</w:t>
      </w:r>
      <w:r>
        <w:rPr>
          <w:spacing w:val="1"/>
          <w:sz w:val="18"/>
        </w:rPr>
        <w:t> </w:t>
      </w:r>
      <w:r>
        <w:rPr>
          <w:sz w:val="18"/>
        </w:rPr>
        <w:t>realizar, el costo de cada una, su ubicación, metas y beneficiarios”, se establece el siguiente formato para</w:t>
      </w:r>
      <w:r>
        <w:rPr>
          <w:spacing w:val="1"/>
          <w:sz w:val="18"/>
        </w:rPr>
        <w:t> </w:t>
      </w:r>
      <w:r>
        <w:rPr>
          <w:sz w:val="18"/>
        </w:rPr>
        <w:t>hacer</w:t>
      </w:r>
      <w:r>
        <w:rPr>
          <w:spacing w:val="-4"/>
          <w:sz w:val="18"/>
        </w:rPr>
        <w:t> </w:t>
      </w:r>
      <w:r>
        <w:rPr>
          <w:sz w:val="18"/>
        </w:rPr>
        <w:t>del</w:t>
      </w:r>
      <w:r>
        <w:rPr>
          <w:spacing w:val="-2"/>
          <w:sz w:val="18"/>
        </w:rPr>
        <w:t> </w:t>
      </w:r>
      <w:r>
        <w:rPr>
          <w:sz w:val="18"/>
        </w:rPr>
        <w:t>conocimiento de</w:t>
      </w:r>
      <w:r>
        <w:rPr>
          <w:spacing w:val="-2"/>
          <w:sz w:val="18"/>
        </w:rPr>
        <w:t> </w:t>
      </w:r>
      <w:r>
        <w:rPr>
          <w:sz w:val="18"/>
        </w:rPr>
        <w:t>los</w:t>
      </w:r>
      <w:r>
        <w:rPr>
          <w:spacing w:val="-1"/>
          <w:sz w:val="18"/>
        </w:rPr>
        <w:t> </w:t>
      </w:r>
      <w:r>
        <w:rPr>
          <w:sz w:val="18"/>
        </w:rPr>
        <w:t>habitantes lo siguiente:</w:t>
      </w:r>
    </w:p>
    <w:p>
      <w:pPr>
        <w:pStyle w:val="BodyText"/>
        <w:spacing w:before="9"/>
        <w:ind w:left="0" w:firstLine="0"/>
        <w:jc w:val="left"/>
        <w:rPr>
          <w:sz w:val="8"/>
        </w:rPr>
      </w:pP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1118490</wp:posOffset>
            </wp:positionH>
            <wp:positionV relativeFrom="paragraph">
              <wp:posOffset>89343</wp:posOffset>
            </wp:positionV>
            <wp:extent cx="5516814" cy="1989677"/>
            <wp:effectExtent l="0" t="0" r="0" b="0"/>
            <wp:wrapTopAndBottom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16814" cy="19896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10"/>
        <w:ind w:left="0" w:firstLine="0"/>
        <w:jc w:val="left"/>
        <w:rPr>
          <w:sz w:val="20"/>
        </w:rPr>
      </w:pPr>
    </w:p>
    <w:p>
      <w:pPr>
        <w:pStyle w:val="Heading1"/>
        <w:spacing w:line="249" w:lineRule="auto" w:before="0"/>
        <w:ind w:right="139" w:firstLine="288"/>
      </w:pPr>
      <w:r>
        <w:rPr/>
        <w:t>Lineamiento para informar los avances del ejercicio de los recursos trimestralmente y al término de</w:t>
      </w:r>
      <w:r>
        <w:rPr>
          <w:spacing w:val="-47"/>
        </w:rPr>
        <w:t> </w:t>
      </w:r>
      <w:r>
        <w:rPr/>
        <w:t>cada</w:t>
      </w:r>
      <w:r>
        <w:rPr>
          <w:spacing w:val="-1"/>
        </w:rPr>
        <w:t> </w:t>
      </w:r>
      <w:r>
        <w:rPr/>
        <w:t>ejercicio</w:t>
      </w:r>
    </w:p>
    <w:p>
      <w:pPr>
        <w:pStyle w:val="ListParagraph"/>
        <w:numPr>
          <w:ilvl w:val="0"/>
          <w:numId w:val="1"/>
        </w:numPr>
        <w:tabs>
          <w:tab w:pos="639" w:val="left" w:leader="none"/>
        </w:tabs>
        <w:spacing w:line="249" w:lineRule="auto" w:before="102" w:after="0"/>
        <w:ind w:left="139" w:right="139" w:firstLine="288"/>
        <w:jc w:val="both"/>
        <w:rPr>
          <w:sz w:val="18"/>
        </w:rPr>
      </w:pPr>
      <w:r>
        <w:rPr>
          <w:sz w:val="18"/>
        </w:rPr>
        <w:t>A fin de dar cumplimiento a lo establecido en el inciso c) de la fracción II del apartado B del artículo 33</w:t>
      </w:r>
      <w:r>
        <w:rPr>
          <w:spacing w:val="1"/>
          <w:sz w:val="18"/>
        </w:rPr>
        <w:t> </w:t>
      </w:r>
      <w:r>
        <w:rPr>
          <w:sz w:val="18"/>
        </w:rPr>
        <w:t>de la Ley de Coordinación Fiscal que establece que es obligación de las entidades federativas, los municipios</w:t>
      </w:r>
      <w:r>
        <w:rPr>
          <w:spacing w:val="1"/>
          <w:sz w:val="18"/>
        </w:rPr>
        <w:t> </w:t>
      </w:r>
      <w:r>
        <w:rPr>
          <w:sz w:val="18"/>
        </w:rPr>
        <w:t>y demarcaciones territoriales del Distrito Federal “Informar a sus habitantes los avances del ejercicio de los</w:t>
      </w:r>
      <w:r>
        <w:rPr>
          <w:spacing w:val="1"/>
          <w:sz w:val="18"/>
        </w:rPr>
        <w:t> </w:t>
      </w:r>
      <w:r>
        <w:rPr>
          <w:sz w:val="18"/>
        </w:rPr>
        <w:t>recursos trimestralmente y al término de cada ejercicio, sobre los resultados alcanzados; al menos a través de</w:t>
      </w:r>
      <w:r>
        <w:rPr>
          <w:spacing w:val="-47"/>
          <w:sz w:val="18"/>
        </w:rPr>
        <w:t> </w:t>
      </w:r>
      <w:r>
        <w:rPr>
          <w:sz w:val="18"/>
        </w:rPr>
        <w:t>la página oficial de Internet de la entidad federativa, conforme a los lineamientos de información pública del</w:t>
      </w:r>
      <w:r>
        <w:rPr>
          <w:spacing w:val="1"/>
          <w:sz w:val="18"/>
        </w:rPr>
        <w:t> </w:t>
      </w:r>
      <w:r>
        <w:rPr>
          <w:sz w:val="18"/>
        </w:rPr>
        <w:t>Consejo</w:t>
      </w:r>
      <w:r>
        <w:rPr>
          <w:spacing w:val="1"/>
          <w:sz w:val="18"/>
        </w:rPr>
        <w:t> </w:t>
      </w:r>
      <w:r>
        <w:rPr>
          <w:sz w:val="18"/>
        </w:rPr>
        <w:t>Nacional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Armonización</w:t>
      </w:r>
      <w:r>
        <w:rPr>
          <w:spacing w:val="1"/>
          <w:sz w:val="18"/>
        </w:rPr>
        <w:t> </w:t>
      </w:r>
      <w:r>
        <w:rPr>
          <w:sz w:val="18"/>
        </w:rPr>
        <w:t>Contable,</w:t>
      </w:r>
      <w:r>
        <w:rPr>
          <w:spacing w:val="1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términos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Ley</w:t>
      </w:r>
      <w:r>
        <w:rPr>
          <w:spacing w:val="1"/>
          <w:sz w:val="18"/>
        </w:rPr>
        <w:t> </w:t>
      </w:r>
      <w:r>
        <w:rPr>
          <w:sz w:val="18"/>
        </w:rPr>
        <w:t>General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Contabilidad</w:t>
      </w:r>
      <w:r>
        <w:rPr>
          <w:spacing w:val="1"/>
          <w:sz w:val="18"/>
        </w:rPr>
        <w:t> </w:t>
      </w:r>
      <w:r>
        <w:rPr>
          <w:sz w:val="18"/>
        </w:rPr>
        <w:t>Gubernamental”,</w:t>
      </w:r>
      <w:r>
        <w:rPr>
          <w:spacing w:val="1"/>
          <w:sz w:val="18"/>
        </w:rPr>
        <w:t> </w:t>
      </w:r>
      <w:r>
        <w:rPr>
          <w:sz w:val="18"/>
        </w:rPr>
        <w:t>se</w:t>
      </w:r>
      <w:r>
        <w:rPr>
          <w:spacing w:val="1"/>
          <w:sz w:val="18"/>
        </w:rPr>
        <w:t> </w:t>
      </w:r>
      <w:r>
        <w:rPr>
          <w:sz w:val="18"/>
        </w:rPr>
        <w:t>precisa</w:t>
      </w:r>
      <w:r>
        <w:rPr>
          <w:spacing w:val="1"/>
          <w:sz w:val="18"/>
        </w:rPr>
        <w:t> </w:t>
      </w:r>
      <w:r>
        <w:rPr>
          <w:sz w:val="18"/>
        </w:rPr>
        <w:t>que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avances</w:t>
      </w:r>
      <w:r>
        <w:rPr>
          <w:spacing w:val="1"/>
          <w:sz w:val="18"/>
        </w:rPr>
        <w:t> </w:t>
      </w:r>
      <w:r>
        <w:rPr>
          <w:sz w:val="18"/>
        </w:rPr>
        <w:t>del</w:t>
      </w:r>
      <w:r>
        <w:rPr>
          <w:spacing w:val="1"/>
          <w:sz w:val="18"/>
        </w:rPr>
        <w:t> </w:t>
      </w:r>
      <w:r>
        <w:rPr>
          <w:sz w:val="18"/>
        </w:rPr>
        <w:t>ejercicio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recursos</w:t>
      </w:r>
      <w:r>
        <w:rPr>
          <w:spacing w:val="1"/>
          <w:sz w:val="18"/>
        </w:rPr>
        <w:t> </w:t>
      </w:r>
      <w:r>
        <w:rPr>
          <w:sz w:val="18"/>
        </w:rPr>
        <w:t>trimestrales</w:t>
      </w:r>
      <w:r>
        <w:rPr>
          <w:spacing w:val="1"/>
          <w:sz w:val="18"/>
        </w:rPr>
        <w:t> </w:t>
      </w:r>
      <w:r>
        <w:rPr>
          <w:sz w:val="18"/>
        </w:rPr>
        <w:t>y los</w:t>
      </w:r>
      <w:r>
        <w:rPr>
          <w:spacing w:val="1"/>
          <w:sz w:val="18"/>
        </w:rPr>
        <w:t> </w:t>
      </w:r>
      <w:r>
        <w:rPr>
          <w:sz w:val="18"/>
        </w:rPr>
        <w:t>resultados</w:t>
      </w:r>
      <w:r>
        <w:rPr>
          <w:spacing w:val="1"/>
          <w:sz w:val="18"/>
        </w:rPr>
        <w:t> </w:t>
      </w:r>
      <w:r>
        <w:rPr>
          <w:sz w:val="18"/>
        </w:rPr>
        <w:t>alcanzados que se deben informar a sus habitantes, son los reportados en el sistema a que hace referencia el</w:t>
      </w:r>
      <w:r>
        <w:rPr>
          <w:spacing w:val="-47"/>
          <w:sz w:val="18"/>
        </w:rPr>
        <w:t> </w:t>
      </w:r>
      <w:r>
        <w:rPr>
          <w:sz w:val="18"/>
        </w:rPr>
        <w:t>artículo</w:t>
      </w:r>
      <w:r>
        <w:rPr>
          <w:spacing w:val="-1"/>
          <w:sz w:val="18"/>
        </w:rPr>
        <w:t> </w:t>
      </w:r>
      <w:r>
        <w:rPr>
          <w:sz w:val="18"/>
        </w:rPr>
        <w:t>85 de</w:t>
      </w:r>
      <w:r>
        <w:rPr>
          <w:spacing w:val="-3"/>
          <w:sz w:val="18"/>
        </w:rPr>
        <w:t> </w:t>
      </w:r>
      <w:r>
        <w:rPr>
          <w:sz w:val="18"/>
        </w:rPr>
        <w:t>la</w:t>
      </w:r>
      <w:r>
        <w:rPr>
          <w:spacing w:val="-2"/>
          <w:sz w:val="18"/>
        </w:rPr>
        <w:t> </w:t>
      </w:r>
      <w:r>
        <w:rPr>
          <w:sz w:val="18"/>
        </w:rPr>
        <w:t>Ley</w:t>
      </w:r>
      <w:r>
        <w:rPr>
          <w:spacing w:val="-2"/>
          <w:sz w:val="18"/>
        </w:rPr>
        <w:t> </w:t>
      </w:r>
      <w:r>
        <w:rPr>
          <w:sz w:val="18"/>
        </w:rPr>
        <w:t>Federal</w:t>
      </w:r>
      <w:r>
        <w:rPr>
          <w:spacing w:val="-3"/>
          <w:sz w:val="18"/>
        </w:rPr>
        <w:t> </w:t>
      </w:r>
      <w:r>
        <w:rPr>
          <w:sz w:val="18"/>
        </w:rPr>
        <w:t>de Presupuesto y</w:t>
      </w:r>
      <w:r>
        <w:rPr>
          <w:spacing w:val="-2"/>
          <w:sz w:val="18"/>
        </w:rPr>
        <w:t> </w:t>
      </w:r>
      <w:r>
        <w:rPr>
          <w:sz w:val="18"/>
        </w:rPr>
        <w:t>Responsabilidad Hacendaria.</w:t>
      </w:r>
    </w:p>
    <w:p>
      <w:pPr>
        <w:pStyle w:val="Heading1"/>
        <w:spacing w:before="114"/>
        <w:ind w:left="3849" w:right="3850"/>
        <w:jc w:val="center"/>
        <w:rPr>
          <w:rFonts w:ascii="Times New Roman"/>
        </w:rPr>
      </w:pPr>
      <w:r>
        <w:rPr>
          <w:rFonts w:ascii="Times New Roman"/>
        </w:rPr>
        <w:t>TRANSITORIOS</w:t>
      </w:r>
    </w:p>
    <w:p>
      <w:pPr>
        <w:pStyle w:val="BodyText"/>
        <w:spacing w:line="249" w:lineRule="auto" w:before="104"/>
        <w:jc w:val="left"/>
      </w:pPr>
      <w:r>
        <w:rPr>
          <w:rFonts w:ascii="Arial" w:hAnsi="Arial"/>
          <w:b/>
        </w:rPr>
        <w:t>PRIMERO.- </w:t>
      </w:r>
      <w:r>
        <w:rPr/>
        <w:t>Los presentes Lineamientos</w:t>
      </w:r>
      <w:r>
        <w:rPr>
          <w:spacing w:val="2"/>
        </w:rPr>
        <w:t> </w:t>
      </w:r>
      <w:r>
        <w:rPr/>
        <w:t>entrarán</w:t>
      </w:r>
      <w:r>
        <w:rPr>
          <w:spacing w:val="2"/>
        </w:rPr>
        <w:t> </w:t>
      </w:r>
      <w:r>
        <w:rPr/>
        <w:t>en</w:t>
      </w:r>
      <w:r>
        <w:rPr>
          <w:spacing w:val="-2"/>
        </w:rPr>
        <w:t> </w:t>
      </w:r>
      <w:r>
        <w:rPr/>
        <w:t>vigor</w:t>
      </w:r>
      <w:r>
        <w:rPr>
          <w:spacing w:val="1"/>
        </w:rPr>
        <w:t> </w:t>
      </w:r>
      <w:r>
        <w:rPr/>
        <w:t>a</w:t>
      </w:r>
      <w:r>
        <w:rPr>
          <w:spacing w:val="-3"/>
        </w:rPr>
        <w:t> </w:t>
      </w:r>
      <w:r>
        <w:rPr/>
        <w:t>partir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día</w:t>
      </w:r>
      <w:r>
        <w:rPr>
          <w:spacing w:val="-1"/>
        </w:rPr>
        <w:t> </w:t>
      </w:r>
      <w:r>
        <w:rPr/>
        <w:t>siguiente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2"/>
        </w:rPr>
        <w:t> </w:t>
      </w:r>
      <w:r>
        <w:rPr/>
        <w:t>publicación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47"/>
        </w:rPr>
        <w:t> </w:t>
      </w:r>
      <w:r>
        <w:rPr/>
        <w:t>Diario</w:t>
      </w:r>
      <w:r>
        <w:rPr>
          <w:spacing w:val="-1"/>
        </w:rPr>
        <w:t> </w:t>
      </w:r>
      <w:r>
        <w:rPr/>
        <w:t>Oficial de la</w:t>
      </w:r>
      <w:r>
        <w:rPr>
          <w:spacing w:val="-2"/>
        </w:rPr>
        <w:t> </w:t>
      </w:r>
      <w:r>
        <w:rPr/>
        <w:t>Federación.</w:t>
      </w:r>
    </w:p>
    <w:p>
      <w:pPr>
        <w:spacing w:after="0" w:line="249" w:lineRule="auto"/>
        <w:jc w:val="left"/>
        <w:sectPr>
          <w:type w:val="continuous"/>
          <w:pgSz w:w="12240" w:h="15840"/>
          <w:pgMar w:top="1200" w:bottom="280" w:left="1560" w:right="1560"/>
        </w:sectPr>
      </w:pPr>
    </w:p>
    <w:p>
      <w:pPr>
        <w:pStyle w:val="BodyText"/>
        <w:spacing w:line="249" w:lineRule="auto" w:before="76"/>
        <w:ind w:right="133"/>
      </w:pPr>
      <w:r>
        <w:rPr>
          <w:rFonts w:ascii="Arial" w:hAnsi="Arial"/>
          <w:b/>
        </w:rPr>
        <w:t>SEGUNDO.- </w:t>
      </w:r>
      <w:r>
        <w:rPr/>
        <w:t>En cumplimiento a lo dispuesto por el artículo 7, segundo párrafo de la Ley General de</w:t>
      </w:r>
      <w:r>
        <w:rPr>
          <w:spacing w:val="1"/>
        </w:rPr>
        <w:t> </w:t>
      </w:r>
      <w:r>
        <w:rPr/>
        <w:t>Contabilidad</w:t>
      </w:r>
      <w:r>
        <w:rPr>
          <w:spacing w:val="1"/>
        </w:rPr>
        <w:t> </w:t>
      </w:r>
      <w:r>
        <w:rPr/>
        <w:t>Gubernamental, los</w:t>
      </w:r>
      <w:r>
        <w:rPr>
          <w:spacing w:val="1"/>
        </w:rPr>
        <w:t> </w:t>
      </w:r>
      <w:r>
        <w:rPr/>
        <w:t>presentes</w:t>
      </w:r>
      <w:r>
        <w:rPr>
          <w:spacing w:val="1"/>
        </w:rPr>
        <w:t> </w:t>
      </w:r>
      <w:r>
        <w:rPr/>
        <w:t>Lineamientos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publicarse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medios</w:t>
      </w:r>
      <w:r>
        <w:rPr>
          <w:spacing w:val="1"/>
        </w:rPr>
        <w:t> </w:t>
      </w:r>
      <w:r>
        <w:rPr/>
        <w:t>oficiales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difusión escritos y electrónicos de las entidades federativas, a más tardar en un plazo de 30 días hábiles</w:t>
      </w:r>
      <w:r>
        <w:rPr>
          <w:spacing w:val="1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a la</w:t>
      </w:r>
      <w:r>
        <w:rPr>
          <w:spacing w:val="-3"/>
        </w:rPr>
        <w:t> </w:t>
      </w:r>
      <w:r>
        <w:rPr/>
        <w:t>publicación</w:t>
      </w:r>
      <w:r>
        <w:rPr>
          <w:spacing w:val="-2"/>
        </w:rPr>
        <w:t> </w:t>
      </w:r>
      <w:r>
        <w:rPr/>
        <w:t>del</w:t>
      </w:r>
      <w:r>
        <w:rPr>
          <w:spacing w:val="-4"/>
        </w:rPr>
        <w:t> </w:t>
      </w:r>
      <w:r>
        <w:rPr/>
        <w:t>presente</w:t>
      </w:r>
      <w:r>
        <w:rPr>
          <w:spacing w:val="-3"/>
        </w:rPr>
        <w:t> </w:t>
      </w:r>
      <w:r>
        <w:rPr/>
        <w:t>en el Diario</w:t>
      </w:r>
      <w:r>
        <w:rPr>
          <w:spacing w:val="-1"/>
        </w:rPr>
        <w:t> </w:t>
      </w:r>
      <w:r>
        <w:rPr/>
        <w:t>Oficial de la</w:t>
      </w:r>
      <w:r>
        <w:rPr>
          <w:spacing w:val="-1"/>
        </w:rPr>
        <w:t> </w:t>
      </w:r>
      <w:r>
        <w:rPr/>
        <w:t>Federación.</w:t>
      </w:r>
    </w:p>
    <w:p>
      <w:pPr>
        <w:pStyle w:val="BodyText"/>
        <w:spacing w:line="249" w:lineRule="auto" w:before="104"/>
        <w:ind w:right="137"/>
      </w:pPr>
      <w:r>
        <w:rPr>
          <w:rFonts w:ascii="Arial" w:hAnsi="Arial"/>
          <w:b/>
        </w:rPr>
        <w:t>TERCERO.- </w:t>
      </w:r>
      <w:r>
        <w:rPr/>
        <w:t>Los gobiernos de las entidades federativas y los ayuntamientos de los municipios remitirán al</w:t>
      </w:r>
      <w:r>
        <w:rPr>
          <w:spacing w:val="1"/>
        </w:rPr>
        <w:t> </w:t>
      </w:r>
      <w:r>
        <w:rPr/>
        <w:t>Secretario Técnico la información relacionada con los actos que realicen para implementar los presentes</w:t>
      </w:r>
      <w:r>
        <w:rPr>
          <w:spacing w:val="1"/>
        </w:rPr>
        <w:t> </w:t>
      </w:r>
      <w:r>
        <w:rPr/>
        <w:t>Lineamientos.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enviada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electrónica</w:t>
      </w:r>
      <w:r>
        <w:rPr>
          <w:spacing w:val="1"/>
        </w:rPr>
        <w:t> </w:t>
      </w:r>
      <w:hyperlink r:id="rId6">
        <w:r>
          <w:rPr/>
          <w:t>conac_sriotecnico@hacienda.gob.mx, </w:t>
        </w:r>
      </w:hyperlink>
      <w:r>
        <w:rPr/>
        <w:t>dentro de un plazo de 15 días hábiles contados a partir de la conclusión</w:t>
      </w:r>
      <w:r>
        <w:rPr>
          <w:spacing w:val="-47"/>
        </w:rPr>
        <w:t> </w:t>
      </w:r>
      <w:r>
        <w:rPr/>
        <w:t>del plazo fijado en el presente. Los municipios sujetos del presente Lineamiento podrán enviar la información</w:t>
      </w:r>
      <w:r>
        <w:rPr>
          <w:spacing w:val="1"/>
        </w:rPr>
        <w:t> </w:t>
      </w:r>
      <w:r>
        <w:rPr/>
        <w:t>antes referida por correo ordinario, a la atención del Secretario Técnico del CONAC, en el domicilio de</w:t>
      </w:r>
      <w:r>
        <w:rPr>
          <w:spacing w:val="1"/>
        </w:rPr>
        <w:t> </w:t>
      </w:r>
      <w:r>
        <w:rPr/>
        <w:t>Constituyentes</w:t>
      </w:r>
      <w:r>
        <w:rPr>
          <w:spacing w:val="-1"/>
        </w:rPr>
        <w:t> </w:t>
      </w:r>
      <w:r>
        <w:rPr/>
        <w:t>1001,</w:t>
      </w:r>
      <w:r>
        <w:rPr>
          <w:spacing w:val="-2"/>
        </w:rPr>
        <w:t> </w:t>
      </w:r>
      <w:r>
        <w:rPr/>
        <w:t>Colonia</w:t>
      </w:r>
      <w:r>
        <w:rPr>
          <w:spacing w:val="-3"/>
        </w:rPr>
        <w:t> </w:t>
      </w:r>
      <w:r>
        <w:rPr/>
        <w:t>Belén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Flores,</w:t>
      </w:r>
      <w:r>
        <w:rPr>
          <w:spacing w:val="-2"/>
        </w:rPr>
        <w:t> </w:t>
      </w:r>
      <w:r>
        <w:rPr/>
        <w:t>Delegación</w:t>
      </w:r>
      <w:r>
        <w:rPr>
          <w:spacing w:val="-2"/>
        </w:rPr>
        <w:t> </w:t>
      </w:r>
      <w:r>
        <w:rPr/>
        <w:t>Álvaro</w:t>
      </w:r>
      <w:r>
        <w:rPr>
          <w:spacing w:val="-1"/>
        </w:rPr>
        <w:t> </w:t>
      </w:r>
      <w:r>
        <w:rPr/>
        <w:t>Obregón,</w:t>
      </w:r>
      <w:r>
        <w:rPr>
          <w:spacing w:val="-2"/>
        </w:rPr>
        <w:t> </w:t>
      </w:r>
      <w:r>
        <w:rPr/>
        <w:t>México,</w:t>
      </w:r>
      <w:r>
        <w:rPr>
          <w:spacing w:val="-2"/>
        </w:rPr>
        <w:t> </w:t>
      </w:r>
      <w:r>
        <w:rPr/>
        <w:t>D.F.,</w:t>
      </w:r>
      <w:r>
        <w:rPr>
          <w:spacing w:val="-1"/>
        </w:rPr>
        <w:t> </w:t>
      </w:r>
      <w:r>
        <w:rPr/>
        <w:t>C.P.</w:t>
      </w:r>
      <w:r>
        <w:rPr>
          <w:spacing w:val="-2"/>
        </w:rPr>
        <w:t> </w:t>
      </w:r>
      <w:r>
        <w:rPr/>
        <w:t>01110.</w:t>
      </w:r>
    </w:p>
    <w:p>
      <w:pPr>
        <w:pStyle w:val="BodyText"/>
        <w:spacing w:line="249" w:lineRule="auto" w:before="106"/>
        <w:ind w:right="145"/>
      </w:pPr>
      <w:r>
        <w:rPr>
          <w:rFonts w:ascii="Arial" w:hAnsi="Arial"/>
          <w:b/>
        </w:rPr>
        <w:t>CUARTO.- </w:t>
      </w:r>
      <w:r>
        <w:rPr/>
        <w:t>Para lo dispuesto en el inciso a) de la fracción II del apartado B del artículo 33 de la Ley de</w:t>
      </w:r>
      <w:r>
        <w:rPr>
          <w:spacing w:val="1"/>
        </w:rPr>
        <w:t> </w:t>
      </w:r>
      <w:r>
        <w:rPr/>
        <w:t>Coordinación Fiscal, en apego al artículo 27 de la Ley General de Contabilidad Gubernamental, los municipios</w:t>
      </w:r>
      <w:r>
        <w:rPr>
          <w:spacing w:val="-47"/>
        </w:rPr>
        <w:t> </w:t>
      </w:r>
      <w:r>
        <w:rPr/>
        <w:t>podrán recurrir a otros medios de publicación, distintos al Internet, cuando este servicio no esté disponible,</w:t>
      </w:r>
      <w:r>
        <w:rPr>
          <w:spacing w:val="1"/>
        </w:rPr>
        <w:t> </w:t>
      </w:r>
      <w:r>
        <w:rPr/>
        <w:t>siempre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cuando</w:t>
      </w:r>
      <w:r>
        <w:rPr>
          <w:spacing w:val="-2"/>
        </w:rPr>
        <w:t> </w:t>
      </w:r>
      <w:r>
        <w:rPr/>
        <w:t>sean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acceso</w:t>
      </w:r>
      <w:r>
        <w:rPr>
          <w:spacing w:val="-2"/>
        </w:rPr>
        <w:t> </w:t>
      </w:r>
      <w:r>
        <w:rPr/>
        <w:t>público.</w:t>
      </w:r>
    </w:p>
    <w:p>
      <w:pPr>
        <w:pStyle w:val="BodyText"/>
        <w:spacing w:line="249" w:lineRule="auto" w:before="104"/>
        <w:ind w:right="139"/>
      </w:pPr>
      <w:r>
        <w:rPr/>
        <w:t>En la Ciudad de México, siendo las diecinueve treinta horas del día 24 de septiembre del año dos mil</w:t>
      </w:r>
      <w:r>
        <w:rPr>
          <w:spacing w:val="1"/>
        </w:rPr>
        <w:t> </w:t>
      </w:r>
      <w:r>
        <w:rPr/>
        <w:t>catorce, con fundamento en los</w:t>
      </w:r>
      <w:r>
        <w:rPr>
          <w:spacing w:val="50"/>
        </w:rPr>
        <w:t> </w:t>
      </w:r>
      <w:r>
        <w:rPr/>
        <w:t>artículos 11 de la Ley General de Contabilidad Gubernamental, 12, fracción</w:t>
      </w:r>
      <w:r>
        <w:rPr>
          <w:spacing w:val="1"/>
        </w:rPr>
        <w:t> </w:t>
      </w:r>
      <w:r>
        <w:rPr/>
        <w:t>IV, y 64 del Reglamento Interior de la Secretaría de Hacienda y Crédito Público, el Titular de la Unidad de</w:t>
      </w:r>
      <w:r>
        <w:rPr>
          <w:spacing w:val="1"/>
        </w:rPr>
        <w:t> </w:t>
      </w:r>
      <w:r>
        <w:rPr/>
        <w:t>Contabilidad Gubernamental de la Subsecretaría de Egresos de la Secretaría de Hacienda y Crédito Público,</w:t>
      </w:r>
      <w:r>
        <w:rPr>
          <w:spacing w:val="1"/>
        </w:rPr>
        <w:t> </w:t>
      </w:r>
      <w:r>
        <w:rPr/>
        <w:t>en mi calidad de Secretario Técnico del Consejo Nacional de Armonización Contable, </w:t>
      </w:r>
      <w:r>
        <w:rPr>
          <w:rFonts w:ascii="Arial" w:hAnsi="Arial"/>
          <w:b/>
        </w:rPr>
        <w:t>HAGO CONSTAR Y</w:t>
      </w:r>
      <w:r>
        <w:rPr>
          <w:rFonts w:ascii="Arial" w:hAnsi="Arial"/>
          <w:b/>
          <w:spacing w:val="1"/>
        </w:rPr>
        <w:t> </w:t>
      </w:r>
      <w:r>
        <w:rPr>
          <w:rFonts w:ascii="Arial" w:hAnsi="Arial"/>
          <w:b/>
        </w:rPr>
        <w:t>CERTIFICO </w:t>
      </w:r>
      <w:r>
        <w:rPr/>
        <w:t>que el documento consistente en 1 foja útil, corresponde con el texto de los Lineamientos de</w:t>
      </w:r>
      <w:r>
        <w:rPr>
          <w:spacing w:val="1"/>
        </w:rPr>
        <w:t> </w:t>
      </w:r>
      <w:r>
        <w:rPr/>
        <w:t>información pública financiera para el Fondo de Aportaciones para la Infraestructura Social, aprobado por el</w:t>
      </w:r>
      <w:r>
        <w:rPr>
          <w:spacing w:val="1"/>
        </w:rPr>
        <w:t> </w:t>
      </w:r>
      <w:r>
        <w:rPr/>
        <w:t>Consejo Nacional de Armonización Contable, mismo que estuvo a la vista de los integrantes de dicho Consejo</w:t>
      </w:r>
      <w:r>
        <w:rPr>
          <w:spacing w:val="-47"/>
        </w:rPr>
        <w:t> </w:t>
      </w:r>
      <w:r>
        <w:rPr/>
        <w:t>en su segunda reunión celebrada, en segunda convocatoria, el 24 de septiembre del presente año, situación</w:t>
      </w:r>
      <w:r>
        <w:rPr>
          <w:spacing w:val="1"/>
        </w:rPr>
        <w:t> </w:t>
      </w:r>
      <w:r>
        <w:rPr/>
        <w:t>que</w:t>
      </w:r>
      <w:r>
        <w:rPr>
          <w:spacing w:val="-3"/>
        </w:rPr>
        <w:t> </w:t>
      </w:r>
      <w:r>
        <w:rPr/>
        <w:t>se certifica para</w:t>
      </w:r>
      <w:r>
        <w:rPr>
          <w:spacing w:val="-1"/>
        </w:rPr>
        <w:t> </w:t>
      </w:r>
      <w:r>
        <w:rPr/>
        <w:t>los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legales</w:t>
      </w:r>
      <w:r>
        <w:rPr>
          <w:spacing w:val="-1"/>
        </w:rPr>
        <w:t> </w:t>
      </w:r>
      <w:r>
        <w:rPr/>
        <w:t>conducentes.</w:t>
      </w:r>
      <w:r>
        <w:rPr>
          <w:spacing w:val="-1"/>
        </w:rPr>
        <w:t> </w:t>
      </w:r>
      <w:r>
        <w:rPr/>
        <w:t>Rúbrica.</w:t>
      </w:r>
    </w:p>
    <w:p>
      <w:pPr>
        <w:spacing w:line="249" w:lineRule="auto" w:before="108"/>
        <w:ind w:left="139" w:right="132" w:firstLine="288"/>
        <w:jc w:val="both"/>
        <w:rPr>
          <w:sz w:val="18"/>
        </w:rPr>
      </w:pPr>
      <w:r>
        <w:rPr>
          <w:sz w:val="18"/>
        </w:rPr>
        <w:t>El Secretario Técnico del Consejo Nacional de Armonización Contable, </w:t>
      </w:r>
      <w:r>
        <w:rPr>
          <w:rFonts w:ascii="Arial" w:hAnsi="Arial"/>
          <w:b/>
          <w:sz w:val="18"/>
        </w:rPr>
        <w:t>Juan Manuel Alcocer Gamba</w:t>
      </w:r>
      <w:r>
        <w:rPr>
          <w:sz w:val="18"/>
        </w:rPr>
        <w:t>.-</w:t>
      </w:r>
      <w:r>
        <w:rPr>
          <w:spacing w:val="1"/>
          <w:sz w:val="18"/>
        </w:rPr>
        <w:t> </w:t>
      </w:r>
      <w:r>
        <w:rPr>
          <w:sz w:val="18"/>
        </w:rPr>
        <w:t>Rúbrica.</w:t>
      </w:r>
    </w:p>
    <w:sectPr>
      <w:pgSz w:w="12240" w:h="15840"/>
      <w:pgMar w:top="1080" w:bottom="280" w:left="1560" w:right="15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139" w:hanging="228"/>
        <w:jc w:val="left"/>
      </w:pPr>
      <w:rPr>
        <w:rFonts w:hint="default" w:ascii="Arial MT" w:hAnsi="Arial MT" w:eastAsia="Arial MT" w:cs="Arial MT"/>
        <w:w w:val="99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8" w:hanging="22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36" w:hanging="22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34" w:hanging="22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732" w:hanging="22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630" w:hanging="22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528" w:hanging="22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426" w:hanging="22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324" w:hanging="228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>
      <w:ind w:left="139" w:firstLine="288"/>
      <w:jc w:val="both"/>
    </w:pPr>
    <w:rPr>
      <w:rFonts w:ascii="Arial MT" w:hAnsi="Arial MT" w:eastAsia="Arial MT" w:cs="Arial MT"/>
      <w:sz w:val="18"/>
      <w:szCs w:val="18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101"/>
      <w:ind w:left="139"/>
      <w:outlineLvl w:val="1"/>
    </w:pPr>
    <w:rPr>
      <w:rFonts w:ascii="Arial" w:hAnsi="Arial" w:eastAsia="Arial" w:cs="Arial"/>
      <w:b/>
      <w:bCs/>
      <w:sz w:val="18"/>
      <w:szCs w:val="18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spacing w:before="100"/>
      <w:ind w:left="139" w:right="135" w:firstLine="288"/>
      <w:jc w:val="both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hyperlink" Target="mailto:conac_sriotecnico@hacienda.gob.mx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DOF</dc:creator>
  <dcterms:created xsi:type="dcterms:W3CDTF">2022-02-01T21:19:34Z</dcterms:created>
  <dcterms:modified xsi:type="dcterms:W3CDTF">2022-02-01T21:19:34Z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2014-11-21T00:00:00Z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2022-02-01T00:00:00Z</vt:filetime>
  </property>
</Properties>
</file>