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2" w:after="19"/>
        <w:ind w:left="139"/>
        <w:rPr>
          <w:rFonts w:ascii="Times New Roman" w:hAnsi="Times New Roman"/>
        </w:rPr>
      </w:pPr>
      <w:r>
        <w:rPr>
          <w:rFonts w:ascii="Times New Roman" w:hAnsi="Times New Roman"/>
        </w:rPr>
        <w:t>NORMA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</w:rPr>
        <w:t>para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establecer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estructura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los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formatos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</w:rPr>
        <w:t>información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obligaciones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pagadas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garantizadas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</w:rPr>
        <w:t>con</w:t>
      </w:r>
      <w:r>
        <w:rPr>
          <w:rFonts w:ascii="Times New Roman" w:hAnsi="Times New Roman"/>
          <w:spacing w:val="-42"/>
        </w:rPr>
        <w:t> </w:t>
      </w:r>
      <w:r>
        <w:rPr>
          <w:rFonts w:ascii="Times New Roman" w:hAnsi="Times New Roman"/>
        </w:rPr>
        <w:t>fondos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</w:rPr>
        <w:t>federales.</w:t>
      </w:r>
    </w:p>
    <w:p>
      <w:pPr>
        <w:pStyle w:val="BodyText"/>
        <w:spacing w:line="28" w:lineRule="exact"/>
        <w:ind w:left="110"/>
        <w:rPr>
          <w:rFonts w:ascii="Times New Roman"/>
          <w:sz w:val="2"/>
        </w:rPr>
      </w:pPr>
      <w:r>
        <w:rPr>
          <w:rFonts w:ascii="Times New Roman"/>
          <w:position w:val="0"/>
          <w:sz w:val="2"/>
        </w:rPr>
        <w:pict>
          <v:group style="width:445.05pt;height:1.45pt;mso-position-horizontal-relative:char;mso-position-vertical-relative:line" coordorigin="0,0" coordsize="8901,29">
            <v:rect style="position:absolute;left:0;top:0;width:8901;height:29" filled="true" fillcolor="#000000" stroked="false">
              <v:fill type="solid"/>
            </v:rect>
          </v:group>
        </w:pict>
      </w:r>
      <w:r>
        <w:rPr>
          <w:rFonts w:ascii="Times New Roman"/>
          <w:position w:val="0"/>
          <w:sz w:val="2"/>
        </w:rPr>
      </w:r>
    </w:p>
    <w:p>
      <w:pPr>
        <w:pStyle w:val="BodyText"/>
        <w:ind w:left="0"/>
        <w:rPr>
          <w:rFonts w:ascii="Times New Roman"/>
          <w:b/>
          <w:sz w:val="11"/>
        </w:rPr>
      </w:pPr>
    </w:p>
    <w:p>
      <w:pPr>
        <w:pStyle w:val="BodyText"/>
        <w:spacing w:line="249" w:lineRule="auto" w:before="94"/>
        <w:ind w:left="139" w:right="134" w:firstLine="288"/>
        <w:jc w:val="both"/>
      </w:pPr>
      <w:r>
        <w:rPr/>
        <w:t>Con</w:t>
      </w:r>
      <w:r>
        <w:rPr>
          <w:spacing w:val="1"/>
        </w:rPr>
        <w:t> </w:t>
      </w:r>
      <w:r>
        <w:rPr/>
        <w:t>fundamento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9,</w:t>
      </w:r>
      <w:r>
        <w:rPr>
          <w:spacing w:val="1"/>
        </w:rPr>
        <w:t> </w:t>
      </w:r>
      <w:r>
        <w:rPr/>
        <w:t>fracciones</w:t>
      </w:r>
      <w:r>
        <w:rPr>
          <w:spacing w:val="1"/>
        </w:rPr>
        <w:t> </w:t>
      </w:r>
      <w:r>
        <w:rPr/>
        <w:t>I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IX,</w:t>
      </w:r>
      <w:r>
        <w:rPr>
          <w:spacing w:val="1"/>
        </w:rPr>
        <w:t> </w:t>
      </w:r>
      <w:r>
        <w:rPr/>
        <w:t>14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78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Cuarto</w:t>
      </w:r>
      <w:r>
        <w:rPr>
          <w:spacing w:val="1"/>
        </w:rPr>
        <w:t> </w:t>
      </w:r>
      <w:r>
        <w:rPr/>
        <w:t>Transitorio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reforma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adiciona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 Gubernamental, para transparentar y armonizar la información financiera relativa a la aplicación</w:t>
      </w:r>
      <w:r>
        <w:rPr>
          <w:spacing w:val="1"/>
        </w:rPr>
        <w:t> </w:t>
      </w:r>
      <w:r>
        <w:rPr/>
        <w:t>de recursos públicos en los distintos órdenes de gobierno publicado en el Diario Oficial de la Federación</w:t>
      </w:r>
      <w:r>
        <w:rPr>
          <w:spacing w:val="1"/>
        </w:rPr>
        <w:t> </w:t>
      </w:r>
      <w:r>
        <w:rPr/>
        <w:t>el 12</w:t>
      </w:r>
      <w:r>
        <w:rPr>
          <w:spacing w:val="-47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 de</w:t>
      </w:r>
      <w:r>
        <w:rPr>
          <w:spacing w:val="-2"/>
        </w:rPr>
        <w:t> </w:t>
      </w:r>
      <w:r>
        <w:rPr/>
        <w:t>2012 se emite la:</w:t>
      </w:r>
    </w:p>
    <w:p>
      <w:pPr>
        <w:pStyle w:val="Heading1"/>
        <w:spacing w:line="247" w:lineRule="auto" w:before="69"/>
        <w:ind w:left="3053" w:hanging="2598"/>
      </w:pPr>
      <w:r>
        <w:rPr/>
        <w:t>Norma para establecer la estructura de los formatos de información de obligaciones pagadas</w:t>
      </w:r>
      <w:r>
        <w:rPr>
          <w:spacing w:val="1"/>
        </w:rPr>
        <w:t> </w:t>
      </w:r>
      <w:r>
        <w:rPr/>
        <w:t>o</w:t>
      </w:r>
      <w:r>
        <w:rPr>
          <w:spacing w:val="-47"/>
        </w:rPr>
        <w:t> </w:t>
      </w:r>
      <w:r>
        <w:rPr/>
        <w:t>garantizadas</w:t>
      </w:r>
      <w:r>
        <w:rPr>
          <w:spacing w:val="-3"/>
        </w:rPr>
        <w:t> </w:t>
      </w:r>
      <w:r>
        <w:rPr/>
        <w:t>con fondos</w:t>
      </w:r>
      <w:r>
        <w:rPr>
          <w:spacing w:val="-2"/>
        </w:rPr>
        <w:t> </w:t>
      </w:r>
      <w:r>
        <w:rPr/>
        <w:t>federales.</w:t>
      </w:r>
    </w:p>
    <w:p>
      <w:pPr>
        <w:spacing w:before="68"/>
        <w:ind w:left="42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74" w:after="0"/>
        <w:ind w:left="859" w:right="140" w:hanging="432"/>
        <w:jc w:val="both"/>
        <w:rPr>
          <w:sz w:val="18"/>
        </w:rPr>
      </w:pPr>
      <w:r>
        <w:rPr>
          <w:sz w:val="18"/>
        </w:rPr>
        <w:t>Establecer la estructura de los formatos para la emisión de información relativa a las características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las obligaciones</w:t>
      </w:r>
      <w:r>
        <w:rPr>
          <w:spacing w:val="1"/>
          <w:sz w:val="18"/>
        </w:rPr>
        <w:t> </w:t>
      </w:r>
      <w:r>
        <w:rPr>
          <w:sz w:val="18"/>
        </w:rPr>
        <w:t>que se pagan o garantizan con</w:t>
      </w:r>
      <w:r>
        <w:rPr>
          <w:spacing w:val="1"/>
          <w:sz w:val="18"/>
        </w:rPr>
        <w:t> </w:t>
      </w:r>
      <w:r>
        <w:rPr>
          <w:sz w:val="18"/>
        </w:rPr>
        <w:t>recursos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fondos</w:t>
      </w:r>
      <w:r>
        <w:rPr>
          <w:spacing w:val="1"/>
          <w:sz w:val="18"/>
        </w:rPr>
        <w:t> </w:t>
      </w:r>
      <w:r>
        <w:rPr>
          <w:sz w:val="18"/>
        </w:rPr>
        <w:t>federales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que la</w:t>
      </w:r>
      <w:r>
        <w:rPr>
          <w:spacing w:val="1"/>
          <w:sz w:val="18"/>
        </w:rPr>
        <w:t> </w:t>
      </w:r>
      <w:r>
        <w:rPr>
          <w:sz w:val="18"/>
        </w:rPr>
        <w:t>información financiera que generen y publiquen los entes obligados sea con base en estructuras y</w:t>
      </w:r>
      <w:r>
        <w:rPr>
          <w:spacing w:val="1"/>
          <w:sz w:val="18"/>
        </w:rPr>
        <w:t> </w:t>
      </w:r>
      <w:r>
        <w:rPr>
          <w:sz w:val="18"/>
        </w:rPr>
        <w:t>formatos</w:t>
      </w:r>
      <w:r>
        <w:rPr>
          <w:spacing w:val="-2"/>
          <w:sz w:val="18"/>
        </w:rPr>
        <w:t> </w:t>
      </w:r>
      <w:r>
        <w:rPr>
          <w:sz w:val="18"/>
        </w:rPr>
        <w:t>armonizados.</w:t>
      </w:r>
    </w:p>
    <w:p>
      <w:pPr>
        <w:pStyle w:val="Heading1"/>
        <w:spacing w:before="65"/>
      </w:pPr>
      <w:r>
        <w:rPr/>
        <w:t>Ambito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7" w:lineRule="auto" w:before="76" w:after="0"/>
        <w:ind w:left="859" w:right="145" w:hanging="432"/>
        <w:jc w:val="both"/>
        <w:rPr>
          <w:sz w:val="18"/>
        </w:rPr>
      </w:pPr>
      <w:r>
        <w:rPr>
          <w:sz w:val="18"/>
        </w:rPr>
        <w:t>Las presentes disposiciones serán de observancia obligatoria para entes obligados las entidades</w:t>
      </w:r>
      <w:r>
        <w:rPr>
          <w:spacing w:val="1"/>
          <w:sz w:val="18"/>
        </w:rPr>
        <w:t> </w:t>
      </w:r>
      <w:r>
        <w:rPr>
          <w:sz w:val="18"/>
        </w:rPr>
        <w:t>federativas y</w:t>
      </w:r>
      <w:r>
        <w:rPr>
          <w:spacing w:val="-1"/>
          <w:sz w:val="18"/>
        </w:rPr>
        <w:t> </w:t>
      </w:r>
      <w:r>
        <w:rPr>
          <w:sz w:val="18"/>
        </w:rPr>
        <w:t>municipios.</w:t>
      </w:r>
    </w:p>
    <w:p>
      <w:pPr>
        <w:pStyle w:val="Heading1"/>
        <w:spacing w:before="66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77" w:after="0"/>
        <w:ind w:left="859" w:right="134" w:hanging="432"/>
        <w:jc w:val="both"/>
        <w:rPr>
          <w:sz w:val="18"/>
        </w:rPr>
      </w:pPr>
      <w:r>
        <w:rPr>
          <w:sz w:val="18"/>
        </w:rPr>
        <w:t>De conformidad al artículo 78 de la Ley General de Contabilidad Gubernamental los entes obligados</w:t>
      </w:r>
      <w:r>
        <w:rPr>
          <w:spacing w:val="1"/>
          <w:sz w:val="18"/>
        </w:rPr>
        <w:t> </w:t>
      </w:r>
      <w:r>
        <w:rPr>
          <w:sz w:val="18"/>
        </w:rPr>
        <w:t>publicaran la información relativa a las características de las obligaciones que se pagan o garantizan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-1"/>
          <w:sz w:val="18"/>
        </w:rPr>
        <w:t> </w:t>
      </w:r>
      <w:r>
        <w:rPr>
          <w:sz w:val="18"/>
        </w:rPr>
        <w:t>recursos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fondos</w:t>
      </w:r>
      <w:r>
        <w:rPr>
          <w:spacing w:val="-1"/>
          <w:sz w:val="18"/>
        </w:rPr>
        <w:t> </w:t>
      </w:r>
      <w:r>
        <w:rPr>
          <w:sz w:val="18"/>
        </w:rPr>
        <w:t>federales.</w:t>
      </w:r>
    </w:p>
    <w:p>
      <w:pPr>
        <w:pStyle w:val="Heading1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47" w:lineRule="auto" w:before="74" w:after="0"/>
        <w:ind w:left="859" w:right="134" w:hanging="432"/>
        <w:jc w:val="left"/>
        <w:rPr>
          <w:sz w:val="18"/>
        </w:rPr>
      </w:pPr>
      <w:r>
        <w:rPr>
          <w:sz w:val="18"/>
        </w:rPr>
        <w:t>Esquema</w:t>
      </w:r>
      <w:r>
        <w:rPr>
          <w:spacing w:val="18"/>
          <w:sz w:val="18"/>
        </w:rPr>
        <w:t> </w:t>
      </w:r>
      <w:r>
        <w:rPr>
          <w:sz w:val="18"/>
        </w:rPr>
        <w:t>para</w:t>
      </w:r>
      <w:r>
        <w:rPr>
          <w:spacing w:val="19"/>
          <w:sz w:val="18"/>
        </w:rPr>
        <w:t> </w:t>
      </w:r>
      <w:r>
        <w:rPr>
          <w:sz w:val="18"/>
        </w:rPr>
        <w:t>la</w:t>
      </w:r>
      <w:r>
        <w:rPr>
          <w:spacing w:val="20"/>
          <w:sz w:val="18"/>
        </w:rPr>
        <w:t> </w:t>
      </w:r>
      <w:r>
        <w:rPr>
          <w:sz w:val="18"/>
        </w:rPr>
        <w:t>integración</w:t>
      </w:r>
      <w:r>
        <w:rPr>
          <w:spacing w:val="19"/>
          <w:sz w:val="18"/>
        </w:rPr>
        <w:t> </w:t>
      </w:r>
      <w:r>
        <w:rPr>
          <w:sz w:val="18"/>
        </w:rPr>
        <w:t>de</w:t>
      </w:r>
      <w:r>
        <w:rPr>
          <w:spacing w:val="21"/>
          <w:sz w:val="18"/>
        </w:rPr>
        <w:t> </w:t>
      </w:r>
      <w:r>
        <w:rPr>
          <w:sz w:val="18"/>
        </w:rPr>
        <w:t>la</w:t>
      </w:r>
      <w:r>
        <w:rPr>
          <w:spacing w:val="20"/>
          <w:sz w:val="18"/>
        </w:rPr>
        <w:t> </w:t>
      </w:r>
      <w:r>
        <w:rPr>
          <w:sz w:val="18"/>
        </w:rPr>
        <w:t>relativa</w:t>
      </w:r>
      <w:r>
        <w:rPr>
          <w:spacing w:val="21"/>
          <w:sz w:val="18"/>
        </w:rPr>
        <w:t> </w:t>
      </w:r>
      <w:r>
        <w:rPr>
          <w:sz w:val="18"/>
        </w:rPr>
        <w:t>a</w:t>
      </w:r>
      <w:r>
        <w:rPr>
          <w:spacing w:val="21"/>
          <w:sz w:val="18"/>
        </w:rPr>
        <w:t> </w:t>
      </w:r>
      <w:r>
        <w:rPr>
          <w:sz w:val="18"/>
        </w:rPr>
        <w:t>las</w:t>
      </w:r>
      <w:r>
        <w:rPr>
          <w:spacing w:val="18"/>
          <w:sz w:val="18"/>
        </w:rPr>
        <w:t> </w:t>
      </w:r>
      <w:r>
        <w:rPr>
          <w:sz w:val="18"/>
        </w:rPr>
        <w:t>características</w:t>
      </w:r>
      <w:r>
        <w:rPr>
          <w:spacing w:val="21"/>
          <w:sz w:val="18"/>
        </w:rPr>
        <w:t> </w:t>
      </w:r>
      <w:r>
        <w:rPr>
          <w:sz w:val="18"/>
        </w:rPr>
        <w:t>de</w:t>
      </w:r>
      <w:r>
        <w:rPr>
          <w:spacing w:val="19"/>
          <w:sz w:val="18"/>
        </w:rPr>
        <w:t> </w:t>
      </w:r>
      <w:r>
        <w:rPr>
          <w:sz w:val="18"/>
        </w:rPr>
        <w:t>las</w:t>
      </w:r>
      <w:r>
        <w:rPr>
          <w:spacing w:val="20"/>
          <w:sz w:val="18"/>
        </w:rPr>
        <w:t> </w:t>
      </w:r>
      <w:r>
        <w:rPr>
          <w:sz w:val="18"/>
        </w:rPr>
        <w:t>obligaciones</w:t>
      </w:r>
      <w:r>
        <w:rPr>
          <w:spacing w:val="21"/>
          <w:sz w:val="18"/>
        </w:rPr>
        <w:t> </w:t>
      </w:r>
      <w:r>
        <w:rPr>
          <w:sz w:val="18"/>
        </w:rPr>
        <w:t>que</w:t>
      </w:r>
      <w:r>
        <w:rPr>
          <w:spacing w:val="18"/>
          <w:sz w:val="18"/>
        </w:rPr>
        <w:t> </w:t>
      </w:r>
      <w:r>
        <w:rPr>
          <w:sz w:val="18"/>
        </w:rPr>
        <w:t>se</w:t>
      </w:r>
      <w:r>
        <w:rPr>
          <w:spacing w:val="21"/>
          <w:sz w:val="18"/>
        </w:rPr>
        <w:t> </w:t>
      </w:r>
      <w:r>
        <w:rPr>
          <w:sz w:val="18"/>
        </w:rPr>
        <w:t>paga</w:t>
      </w:r>
      <w:r>
        <w:rPr>
          <w:spacing w:val="19"/>
          <w:sz w:val="18"/>
        </w:rPr>
        <w:t> </w:t>
      </w:r>
      <w:r>
        <w:rPr>
          <w:sz w:val="18"/>
        </w:rPr>
        <w:t>o</w:t>
      </w:r>
      <w:r>
        <w:rPr>
          <w:spacing w:val="-47"/>
          <w:sz w:val="18"/>
        </w:rPr>
        <w:t> </w:t>
      </w:r>
      <w:r>
        <w:rPr>
          <w:sz w:val="18"/>
        </w:rPr>
        <w:t>garantiza</w:t>
      </w:r>
      <w:r>
        <w:rPr>
          <w:spacing w:val="-1"/>
          <w:sz w:val="18"/>
        </w:rPr>
        <w:t> </w:t>
      </w:r>
      <w:r>
        <w:rPr>
          <w:sz w:val="18"/>
        </w:rPr>
        <w:t>con</w:t>
      </w:r>
      <w:r>
        <w:rPr>
          <w:spacing w:val="-1"/>
          <w:sz w:val="18"/>
        </w:rPr>
        <w:t> </w:t>
      </w:r>
      <w:r>
        <w:rPr>
          <w:sz w:val="18"/>
        </w:rPr>
        <w:t>recursos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fondos</w:t>
      </w:r>
      <w:r>
        <w:rPr>
          <w:spacing w:val="1"/>
          <w:sz w:val="18"/>
        </w:rPr>
        <w:t> </w:t>
      </w:r>
      <w:r>
        <w:rPr>
          <w:sz w:val="18"/>
        </w:rPr>
        <w:t>federales,</w:t>
      </w:r>
      <w:r>
        <w:rPr>
          <w:spacing w:val="-1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formato</w:t>
      </w:r>
      <w:r>
        <w:rPr>
          <w:spacing w:val="-3"/>
          <w:sz w:val="18"/>
        </w:rPr>
        <w:t> </w:t>
      </w: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integra</w:t>
      </w:r>
      <w:r>
        <w:rPr>
          <w:spacing w:val="-1"/>
          <w:sz w:val="18"/>
        </w:rPr>
        <w:t> </w:t>
      </w:r>
      <w:r>
        <w:rPr>
          <w:sz w:val="18"/>
        </w:rPr>
        <w:t>principalmente</w:t>
      </w:r>
      <w:r>
        <w:rPr>
          <w:spacing w:val="-3"/>
          <w:sz w:val="18"/>
        </w:rPr>
        <w:t> </w:t>
      </w:r>
      <w:r>
        <w:rPr>
          <w:sz w:val="18"/>
        </w:rPr>
        <w:t>por: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68" w:after="0"/>
        <w:ind w:left="1219" w:right="0" w:hanging="361"/>
        <w:jc w:val="left"/>
        <w:rPr>
          <w:sz w:val="18"/>
        </w:rPr>
      </w:pPr>
      <w:r>
        <w:rPr>
          <w:sz w:val="18"/>
        </w:rPr>
        <w:t>Tipo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obligación:</w:t>
      </w:r>
      <w:r>
        <w:rPr>
          <w:spacing w:val="-5"/>
          <w:sz w:val="18"/>
        </w:rPr>
        <w:t> </w:t>
      </w:r>
      <w:r>
        <w:rPr>
          <w:sz w:val="18"/>
        </w:rPr>
        <w:t>crédito</w:t>
      </w:r>
      <w:r>
        <w:rPr>
          <w:spacing w:val="-5"/>
          <w:sz w:val="18"/>
        </w:rPr>
        <w:t> </w:t>
      </w:r>
      <w:r>
        <w:rPr>
          <w:sz w:val="18"/>
        </w:rPr>
        <w:t>simple,</w:t>
      </w:r>
      <w:r>
        <w:rPr>
          <w:spacing w:val="-5"/>
          <w:sz w:val="18"/>
        </w:rPr>
        <w:t> </w:t>
      </w:r>
      <w:r>
        <w:rPr>
          <w:sz w:val="18"/>
        </w:rPr>
        <w:t>emisión</w:t>
      </w:r>
      <w:r>
        <w:rPr>
          <w:spacing w:val="-3"/>
          <w:sz w:val="18"/>
        </w:rPr>
        <w:t> </w:t>
      </w:r>
      <w:r>
        <w:rPr>
          <w:sz w:val="18"/>
        </w:rPr>
        <w:t>bursátil,</w:t>
      </w:r>
      <w:r>
        <w:rPr>
          <w:spacing w:val="-5"/>
          <w:sz w:val="18"/>
        </w:rPr>
        <w:t> </w:t>
      </w:r>
      <w:r>
        <w:rPr>
          <w:sz w:val="18"/>
        </w:rPr>
        <w:t>crédito</w:t>
      </w:r>
      <w:r>
        <w:rPr>
          <w:spacing w:val="-4"/>
          <w:sz w:val="18"/>
        </w:rPr>
        <w:t> </w:t>
      </w:r>
      <w:r>
        <w:rPr>
          <w:sz w:val="18"/>
        </w:rPr>
        <w:t>revolvente,</w:t>
      </w:r>
      <w:r>
        <w:rPr>
          <w:spacing w:val="-3"/>
          <w:sz w:val="18"/>
        </w:rPr>
        <w:t> </w:t>
      </w:r>
      <w:r>
        <w:rPr>
          <w:sz w:val="18"/>
        </w:rPr>
        <w:t>pps,</w:t>
      </w:r>
      <w:r>
        <w:rPr>
          <w:spacing w:val="-5"/>
          <w:sz w:val="18"/>
        </w:rPr>
        <w:t> </w:t>
      </w:r>
      <w:r>
        <w:rPr>
          <w:sz w:val="18"/>
        </w:rPr>
        <w:t>principalmente.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74" w:after="0"/>
        <w:ind w:left="1219" w:right="0" w:hanging="361"/>
        <w:jc w:val="left"/>
        <w:rPr>
          <w:sz w:val="18"/>
        </w:rPr>
      </w:pPr>
      <w:r>
        <w:rPr>
          <w:sz w:val="18"/>
        </w:rPr>
        <w:t>Plazo:</w:t>
      </w:r>
      <w:r>
        <w:rPr>
          <w:spacing w:val="-2"/>
          <w:sz w:val="18"/>
        </w:rPr>
        <w:t> </w:t>
      </w:r>
      <w:r>
        <w:rPr>
          <w:sz w:val="18"/>
        </w:rPr>
        <w:t>años por</w:t>
      </w:r>
      <w:r>
        <w:rPr>
          <w:spacing w:val="-2"/>
          <w:sz w:val="18"/>
        </w:rPr>
        <w:t> </w:t>
      </w:r>
      <w:r>
        <w:rPr>
          <w:sz w:val="18"/>
        </w:rPr>
        <w:t>los</w:t>
      </w:r>
      <w:r>
        <w:rPr>
          <w:spacing w:val="-2"/>
          <w:sz w:val="18"/>
        </w:rPr>
        <w:t> </w:t>
      </w:r>
      <w:r>
        <w:rPr>
          <w:sz w:val="18"/>
        </w:rPr>
        <w:t>que</w:t>
      </w:r>
      <w:r>
        <w:rPr>
          <w:spacing w:val="-3"/>
          <w:sz w:val="18"/>
        </w:rPr>
        <w:t> </w:t>
      </w:r>
      <w:r>
        <w:rPr>
          <w:sz w:val="18"/>
        </w:rPr>
        <w:t>se</w:t>
      </w:r>
      <w:r>
        <w:rPr>
          <w:spacing w:val="-4"/>
          <w:sz w:val="18"/>
        </w:rPr>
        <w:t> </w:t>
      </w:r>
      <w:r>
        <w:rPr>
          <w:sz w:val="18"/>
        </w:rPr>
        <w:t>contrajo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obligación.</w:t>
      </w:r>
    </w:p>
    <w:p>
      <w:pPr>
        <w:pStyle w:val="ListParagraph"/>
        <w:numPr>
          <w:ilvl w:val="1"/>
          <w:numId w:val="1"/>
        </w:numPr>
        <w:tabs>
          <w:tab w:pos="1219" w:val="left" w:leader="none"/>
          <w:tab w:pos="1220" w:val="left" w:leader="none"/>
        </w:tabs>
        <w:spacing w:line="240" w:lineRule="auto" w:before="71" w:after="0"/>
        <w:ind w:left="1219" w:right="0" w:hanging="361"/>
        <w:jc w:val="left"/>
        <w:rPr>
          <w:sz w:val="18"/>
        </w:rPr>
      </w:pPr>
      <w:r>
        <w:rPr>
          <w:sz w:val="18"/>
        </w:rPr>
        <w:t>Tasa:</w:t>
      </w:r>
      <w:r>
        <w:rPr>
          <w:spacing w:val="-3"/>
          <w:sz w:val="18"/>
        </w:rPr>
        <w:t> </w:t>
      </w:r>
      <w:r>
        <w:rPr>
          <w:sz w:val="18"/>
        </w:rPr>
        <w:t>porcentaje</w:t>
      </w:r>
      <w:r>
        <w:rPr>
          <w:spacing w:val="-3"/>
          <w:sz w:val="18"/>
        </w:rPr>
        <w:t> </w:t>
      </w:r>
      <w:r>
        <w:rPr>
          <w:sz w:val="18"/>
        </w:rPr>
        <w:t>relacionado</w:t>
      </w:r>
      <w:r>
        <w:rPr>
          <w:spacing w:val="-5"/>
          <w:sz w:val="18"/>
        </w:rPr>
        <w:t> </w:t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obligación.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7" w:lineRule="auto" w:before="77" w:after="0"/>
        <w:ind w:left="1219" w:right="143" w:hanging="360"/>
        <w:jc w:val="left"/>
        <w:rPr>
          <w:sz w:val="18"/>
        </w:rPr>
      </w:pPr>
      <w:r>
        <w:rPr>
          <w:sz w:val="18"/>
        </w:rPr>
        <w:t>Fin, Destino y Objeto: destinados al saneamiento financiero, de conformidad con los artículos 37,</w:t>
      </w:r>
      <w:r>
        <w:rPr>
          <w:spacing w:val="-47"/>
          <w:sz w:val="18"/>
        </w:rPr>
        <w:t> </w:t>
      </w:r>
      <w:r>
        <w:rPr>
          <w:sz w:val="18"/>
        </w:rPr>
        <w:t>47</w:t>
      </w:r>
      <w:r>
        <w:rPr>
          <w:spacing w:val="-1"/>
          <w:sz w:val="18"/>
        </w:rPr>
        <w:t> </w:t>
      </w:r>
      <w:r>
        <w:rPr>
          <w:sz w:val="18"/>
        </w:rPr>
        <w:t>fracción II y</w:t>
      </w:r>
      <w:r>
        <w:rPr>
          <w:spacing w:val="-2"/>
          <w:sz w:val="18"/>
        </w:rPr>
        <w:t> </w:t>
      </w:r>
      <w:r>
        <w:rPr>
          <w:sz w:val="18"/>
        </w:rPr>
        <w:t>50 de la</w:t>
      </w:r>
      <w:r>
        <w:rPr>
          <w:spacing w:val="-3"/>
          <w:sz w:val="18"/>
        </w:rPr>
        <w:t> </w:t>
      </w:r>
      <w:r>
        <w:rPr>
          <w:sz w:val="18"/>
        </w:rPr>
        <w:t>Ley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Coordinación</w:t>
      </w:r>
      <w:r>
        <w:rPr>
          <w:spacing w:val="-2"/>
          <w:sz w:val="18"/>
        </w:rPr>
        <w:t> </w:t>
      </w:r>
      <w:r>
        <w:rPr>
          <w:sz w:val="18"/>
        </w:rPr>
        <w:t>Fiscal.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7" w:lineRule="auto" w:before="70" w:after="0"/>
        <w:ind w:left="1219" w:right="138" w:hanging="360"/>
        <w:jc w:val="left"/>
        <w:rPr>
          <w:sz w:val="18"/>
        </w:rPr>
      </w:pPr>
      <w:r>
        <w:rPr>
          <w:sz w:val="18"/>
        </w:rPr>
        <w:t>Acreedor,</w:t>
      </w:r>
      <w:r>
        <w:rPr>
          <w:spacing w:val="10"/>
          <w:sz w:val="18"/>
        </w:rPr>
        <w:t> </w:t>
      </w:r>
      <w:r>
        <w:rPr>
          <w:sz w:val="18"/>
        </w:rPr>
        <w:t>Proveedor</w:t>
      </w:r>
      <w:r>
        <w:rPr>
          <w:spacing w:val="10"/>
          <w:sz w:val="18"/>
        </w:rPr>
        <w:t> </w:t>
      </w:r>
      <w:r>
        <w:rPr>
          <w:sz w:val="18"/>
        </w:rPr>
        <w:t>o</w:t>
      </w:r>
      <w:r>
        <w:rPr>
          <w:spacing w:val="10"/>
          <w:sz w:val="18"/>
        </w:rPr>
        <w:t> </w:t>
      </w:r>
      <w:r>
        <w:rPr>
          <w:sz w:val="18"/>
        </w:rPr>
        <w:t>Contratista:</w:t>
      </w:r>
      <w:r>
        <w:rPr>
          <w:spacing w:val="11"/>
          <w:sz w:val="18"/>
        </w:rPr>
        <w:t> </w:t>
      </w:r>
      <w:r>
        <w:rPr>
          <w:sz w:val="18"/>
        </w:rPr>
        <w:t>nombre</w:t>
      </w:r>
      <w:r>
        <w:rPr>
          <w:spacing w:val="10"/>
          <w:sz w:val="18"/>
        </w:rPr>
        <w:t> </w:t>
      </w:r>
      <w:r>
        <w:rPr>
          <w:sz w:val="18"/>
        </w:rPr>
        <w:t>de</w:t>
      </w:r>
      <w:r>
        <w:rPr>
          <w:spacing w:val="10"/>
          <w:sz w:val="18"/>
        </w:rPr>
        <w:t> </w:t>
      </w:r>
      <w:r>
        <w:rPr>
          <w:sz w:val="18"/>
        </w:rPr>
        <w:t>la</w:t>
      </w:r>
      <w:r>
        <w:rPr>
          <w:spacing w:val="9"/>
          <w:sz w:val="18"/>
        </w:rPr>
        <w:t> </w:t>
      </w:r>
      <w:r>
        <w:rPr>
          <w:sz w:val="18"/>
        </w:rPr>
        <w:t>persona</w:t>
      </w:r>
      <w:r>
        <w:rPr>
          <w:spacing w:val="16"/>
          <w:sz w:val="18"/>
        </w:rPr>
        <w:t> </w:t>
      </w:r>
      <w:r>
        <w:rPr>
          <w:sz w:val="18"/>
        </w:rPr>
        <w:t>física</w:t>
      </w:r>
      <w:r>
        <w:rPr>
          <w:spacing w:val="10"/>
          <w:sz w:val="18"/>
        </w:rPr>
        <w:t> </w:t>
      </w:r>
      <w:r>
        <w:rPr>
          <w:sz w:val="18"/>
        </w:rPr>
        <w:t>o</w:t>
      </w:r>
      <w:r>
        <w:rPr>
          <w:spacing w:val="11"/>
          <w:sz w:val="18"/>
        </w:rPr>
        <w:t> </w:t>
      </w:r>
      <w:r>
        <w:rPr>
          <w:sz w:val="18"/>
        </w:rPr>
        <w:t>moral</w:t>
      </w:r>
      <w:r>
        <w:rPr>
          <w:spacing w:val="8"/>
          <w:sz w:val="18"/>
        </w:rPr>
        <w:t> </w:t>
      </w:r>
      <w:r>
        <w:rPr>
          <w:sz w:val="18"/>
        </w:rPr>
        <w:t>con</w:t>
      </w:r>
      <w:r>
        <w:rPr>
          <w:spacing w:val="8"/>
          <w:sz w:val="18"/>
        </w:rPr>
        <w:t> </w:t>
      </w:r>
      <w:r>
        <w:rPr>
          <w:sz w:val="18"/>
        </w:rPr>
        <w:t>la</w:t>
      </w:r>
      <w:r>
        <w:rPr>
          <w:spacing w:val="11"/>
          <w:sz w:val="18"/>
        </w:rPr>
        <w:t> </w:t>
      </w:r>
      <w:r>
        <w:rPr>
          <w:sz w:val="18"/>
        </w:rPr>
        <w:t>que</w:t>
      </w:r>
      <w:r>
        <w:rPr>
          <w:spacing w:val="10"/>
          <w:sz w:val="18"/>
        </w:rPr>
        <w:t> </w:t>
      </w:r>
      <w:r>
        <w:rPr>
          <w:sz w:val="18"/>
        </w:rPr>
        <w:t>se</w:t>
      </w:r>
      <w:r>
        <w:rPr>
          <w:spacing w:val="8"/>
          <w:sz w:val="18"/>
        </w:rPr>
        <w:t> </w:t>
      </w:r>
      <w:r>
        <w:rPr>
          <w:sz w:val="18"/>
        </w:rPr>
        <w:t>adquiere</w:t>
      </w:r>
      <w:r>
        <w:rPr>
          <w:spacing w:val="-47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obligación.</w:t>
      </w:r>
    </w:p>
    <w:p>
      <w:pPr>
        <w:pStyle w:val="ListParagraph"/>
        <w:numPr>
          <w:ilvl w:val="1"/>
          <w:numId w:val="1"/>
        </w:numPr>
        <w:tabs>
          <w:tab w:pos="1219" w:val="left" w:leader="none"/>
          <w:tab w:pos="1220" w:val="left" w:leader="none"/>
        </w:tabs>
        <w:spacing w:line="240" w:lineRule="auto" w:before="66" w:after="0"/>
        <w:ind w:left="1219" w:right="0" w:hanging="361"/>
        <w:jc w:val="left"/>
        <w:rPr>
          <w:sz w:val="18"/>
        </w:rPr>
      </w:pPr>
      <w:r>
        <w:rPr>
          <w:sz w:val="18"/>
        </w:rPr>
        <w:t>Importe</w:t>
      </w:r>
      <w:r>
        <w:rPr>
          <w:spacing w:val="-2"/>
          <w:sz w:val="18"/>
        </w:rPr>
        <w:t> </w:t>
      </w:r>
      <w:r>
        <w:rPr>
          <w:sz w:val="18"/>
        </w:rPr>
        <w:t>Total:</w:t>
      </w:r>
      <w:r>
        <w:rPr>
          <w:spacing w:val="-4"/>
          <w:sz w:val="18"/>
        </w:rPr>
        <w:t> </w:t>
      </w:r>
      <w:r>
        <w:rPr>
          <w:sz w:val="18"/>
        </w:rPr>
        <w:t>cantidad</w:t>
      </w:r>
      <w:r>
        <w:rPr>
          <w:spacing w:val="-2"/>
          <w:sz w:val="18"/>
        </w:rPr>
        <w:t> </w:t>
      </w:r>
      <w:r>
        <w:rPr>
          <w:sz w:val="18"/>
        </w:rPr>
        <w:t>total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obligación</w:t>
      </w:r>
      <w:r>
        <w:rPr>
          <w:spacing w:val="-3"/>
          <w:sz w:val="18"/>
        </w:rPr>
        <w:t> </w:t>
      </w:r>
      <w:r>
        <w:rPr>
          <w:sz w:val="18"/>
        </w:rPr>
        <w:t>contraída</w:t>
      </w:r>
      <w:r>
        <w:rPr>
          <w:spacing w:val="-2"/>
          <w:sz w:val="18"/>
        </w:rPr>
        <w:t> </w:t>
      </w:r>
      <w:r>
        <w:rPr>
          <w:sz w:val="18"/>
        </w:rPr>
        <w:t>por</w:t>
      </w:r>
      <w:r>
        <w:rPr>
          <w:spacing w:val="-2"/>
          <w:sz w:val="18"/>
        </w:rPr>
        <w:t> </w:t>
      </w:r>
      <w:r>
        <w:rPr>
          <w:sz w:val="18"/>
        </w:rPr>
        <w:t>el</w:t>
      </w:r>
      <w:r>
        <w:rPr>
          <w:spacing w:val="-4"/>
          <w:sz w:val="18"/>
        </w:rPr>
        <w:t> </w:t>
      </w:r>
      <w:r>
        <w:rPr>
          <w:sz w:val="18"/>
        </w:rPr>
        <w:t>ente</w:t>
      </w:r>
      <w:r>
        <w:rPr>
          <w:spacing w:val="-3"/>
          <w:sz w:val="18"/>
        </w:rPr>
        <w:t> </w:t>
      </w:r>
      <w:r>
        <w:rPr>
          <w:sz w:val="18"/>
        </w:rPr>
        <w:t>público.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74" w:after="0"/>
        <w:ind w:left="1219" w:right="0" w:hanging="361"/>
        <w:jc w:val="left"/>
        <w:rPr>
          <w:sz w:val="18"/>
        </w:rPr>
      </w:pPr>
      <w:r>
        <w:rPr>
          <w:sz w:val="18"/>
        </w:rPr>
        <w:t>Fondo:</w:t>
      </w:r>
      <w:r>
        <w:rPr>
          <w:spacing w:val="-4"/>
          <w:sz w:val="18"/>
        </w:rPr>
        <w:t> </w:t>
      </w:r>
      <w:r>
        <w:rPr>
          <w:sz w:val="18"/>
        </w:rPr>
        <w:t>es</w:t>
      </w:r>
      <w:r>
        <w:rPr>
          <w:spacing w:val="-3"/>
          <w:sz w:val="18"/>
        </w:rPr>
        <w:t> </w:t>
      </w:r>
      <w:r>
        <w:rPr>
          <w:sz w:val="18"/>
        </w:rPr>
        <w:t>el</w:t>
      </w:r>
      <w:r>
        <w:rPr>
          <w:spacing w:val="-3"/>
          <w:sz w:val="18"/>
        </w:rPr>
        <w:t> </w:t>
      </w:r>
      <w:r>
        <w:rPr>
          <w:sz w:val="18"/>
        </w:rPr>
        <w:t>nombre</w:t>
      </w:r>
      <w:r>
        <w:rPr>
          <w:spacing w:val="-4"/>
          <w:sz w:val="18"/>
        </w:rPr>
        <w:t> </w:t>
      </w:r>
      <w:r>
        <w:rPr>
          <w:sz w:val="18"/>
        </w:rPr>
        <w:t>del</w:t>
      </w:r>
      <w:r>
        <w:rPr>
          <w:spacing w:val="-1"/>
          <w:sz w:val="18"/>
        </w:rPr>
        <w:t> </w:t>
      </w:r>
      <w:r>
        <w:rPr>
          <w:sz w:val="18"/>
        </w:rPr>
        <w:t>fondo</w:t>
      </w:r>
      <w:r>
        <w:rPr>
          <w:spacing w:val="-3"/>
          <w:sz w:val="18"/>
        </w:rPr>
        <w:t> </w:t>
      </w:r>
      <w:r>
        <w:rPr>
          <w:sz w:val="18"/>
        </w:rPr>
        <w:t>con</w:t>
      </w:r>
      <w:r>
        <w:rPr>
          <w:spacing w:val="-4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que</w:t>
      </w:r>
      <w:r>
        <w:rPr>
          <w:spacing w:val="-3"/>
          <w:sz w:val="18"/>
        </w:rPr>
        <w:t> </w:t>
      </w: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paga</w:t>
      </w:r>
      <w:r>
        <w:rPr>
          <w:spacing w:val="-3"/>
          <w:sz w:val="18"/>
        </w:rPr>
        <w:t> </w:t>
      </w:r>
      <w:r>
        <w:rPr>
          <w:sz w:val="18"/>
        </w:rPr>
        <w:t>o</w:t>
      </w:r>
      <w:r>
        <w:rPr>
          <w:spacing w:val="-1"/>
          <w:sz w:val="18"/>
        </w:rPr>
        <w:t> </w:t>
      </w:r>
      <w:r>
        <w:rPr>
          <w:sz w:val="18"/>
        </w:rPr>
        <w:t>garantiza.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74" w:after="0"/>
        <w:ind w:left="1219" w:right="0" w:hanging="361"/>
        <w:jc w:val="left"/>
        <w:rPr>
          <w:sz w:val="18"/>
        </w:rPr>
      </w:pPr>
      <w:r>
        <w:rPr>
          <w:sz w:val="18"/>
        </w:rPr>
        <w:t>Importe</w:t>
      </w:r>
      <w:r>
        <w:rPr>
          <w:spacing w:val="-3"/>
          <w:sz w:val="18"/>
        </w:rPr>
        <w:t> </w:t>
      </w:r>
      <w:r>
        <w:rPr>
          <w:sz w:val="18"/>
        </w:rPr>
        <w:t>Pagado:</w:t>
      </w:r>
      <w:r>
        <w:rPr>
          <w:spacing w:val="-3"/>
          <w:sz w:val="18"/>
        </w:rPr>
        <w:t> </w:t>
      </w:r>
      <w:r>
        <w:rPr>
          <w:sz w:val="18"/>
        </w:rPr>
        <w:t>importe</w:t>
      </w:r>
      <w:r>
        <w:rPr>
          <w:spacing w:val="-4"/>
          <w:sz w:val="18"/>
        </w:rPr>
        <w:t> </w:t>
      </w:r>
      <w:r>
        <w:rPr>
          <w:sz w:val="18"/>
        </w:rPr>
        <w:t>pagado,</w:t>
      </w:r>
      <w:r>
        <w:rPr>
          <w:spacing w:val="-2"/>
          <w:sz w:val="18"/>
        </w:rPr>
        <w:t> </w:t>
      </w:r>
      <w:r>
        <w:rPr>
          <w:sz w:val="18"/>
        </w:rPr>
        <w:t>relacionado</w:t>
      </w:r>
      <w:r>
        <w:rPr>
          <w:spacing w:val="-4"/>
          <w:sz w:val="18"/>
        </w:rPr>
        <w:t> </w:t>
      </w:r>
      <w:r>
        <w:rPr>
          <w:sz w:val="18"/>
        </w:rPr>
        <w:t>al</w:t>
      </w:r>
      <w:r>
        <w:rPr>
          <w:spacing w:val="-2"/>
          <w:sz w:val="18"/>
        </w:rPr>
        <w:t> </w:t>
      </w:r>
      <w:r>
        <w:rPr>
          <w:sz w:val="18"/>
        </w:rPr>
        <w:t>tipo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fondo.</w:t>
      </w:r>
    </w:p>
    <w:p>
      <w:pPr>
        <w:pStyle w:val="ListParagraph"/>
        <w:numPr>
          <w:ilvl w:val="1"/>
          <w:numId w:val="1"/>
        </w:numPr>
        <w:tabs>
          <w:tab w:pos="1219" w:val="left" w:leader="none"/>
          <w:tab w:pos="1220" w:val="left" w:leader="none"/>
        </w:tabs>
        <w:spacing w:line="240" w:lineRule="auto" w:before="71" w:after="0"/>
        <w:ind w:left="1219" w:right="0" w:hanging="361"/>
        <w:jc w:val="left"/>
        <w:rPr>
          <w:sz w:val="18"/>
        </w:rPr>
      </w:pPr>
      <w:r>
        <w:rPr>
          <w:sz w:val="18"/>
        </w:rPr>
        <w:t>Importe</w:t>
      </w:r>
      <w:r>
        <w:rPr>
          <w:spacing w:val="-3"/>
          <w:sz w:val="18"/>
        </w:rPr>
        <w:t> </w:t>
      </w:r>
      <w:r>
        <w:rPr>
          <w:sz w:val="18"/>
        </w:rPr>
        <w:t>Garantizado:</w:t>
      </w:r>
      <w:r>
        <w:rPr>
          <w:spacing w:val="-4"/>
          <w:sz w:val="18"/>
        </w:rPr>
        <w:t> </w:t>
      </w:r>
      <w:r>
        <w:rPr>
          <w:sz w:val="18"/>
        </w:rPr>
        <w:t>importe</w:t>
      </w:r>
      <w:r>
        <w:rPr>
          <w:spacing w:val="-7"/>
          <w:sz w:val="18"/>
        </w:rPr>
        <w:t> </w:t>
      </w:r>
      <w:r>
        <w:rPr>
          <w:sz w:val="18"/>
        </w:rPr>
        <w:t>garantizado,</w:t>
      </w:r>
      <w:r>
        <w:rPr>
          <w:spacing w:val="-2"/>
          <w:sz w:val="18"/>
        </w:rPr>
        <w:t> </w:t>
      </w:r>
      <w:r>
        <w:rPr>
          <w:sz w:val="18"/>
        </w:rPr>
        <w:t>relacionado</w:t>
      </w:r>
      <w:r>
        <w:rPr>
          <w:spacing w:val="-3"/>
          <w:sz w:val="18"/>
        </w:rPr>
        <w:t> </w:t>
      </w:r>
      <w:r>
        <w:rPr>
          <w:sz w:val="18"/>
        </w:rPr>
        <w:t>al</w:t>
      </w:r>
      <w:r>
        <w:rPr>
          <w:spacing w:val="-4"/>
          <w:sz w:val="18"/>
        </w:rPr>
        <w:t> </w:t>
      </w:r>
      <w:r>
        <w:rPr>
          <w:sz w:val="18"/>
        </w:rPr>
        <w:t>tipo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fondo.</w:t>
      </w:r>
    </w:p>
    <w:p>
      <w:pPr>
        <w:pStyle w:val="ListParagraph"/>
        <w:numPr>
          <w:ilvl w:val="1"/>
          <w:numId w:val="1"/>
        </w:numPr>
        <w:tabs>
          <w:tab w:pos="1219" w:val="left" w:leader="none"/>
          <w:tab w:pos="1220" w:val="left" w:leader="none"/>
        </w:tabs>
        <w:spacing w:line="240" w:lineRule="auto" w:before="74" w:after="0"/>
        <w:ind w:left="1219" w:right="0" w:hanging="361"/>
        <w:jc w:val="left"/>
        <w:rPr>
          <w:sz w:val="18"/>
        </w:rPr>
      </w:pPr>
      <w:r>
        <w:rPr>
          <w:sz w:val="18"/>
        </w:rPr>
        <w:t>Periodicidad: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forma</w:t>
      </w:r>
      <w:r>
        <w:rPr>
          <w:spacing w:val="-3"/>
          <w:sz w:val="18"/>
        </w:rPr>
        <w:t> </w:t>
      </w:r>
      <w:r>
        <w:rPr>
          <w:sz w:val="18"/>
        </w:rPr>
        <w:t>trimestral.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76" w:after="0"/>
        <w:ind w:left="859" w:right="141" w:hanging="432"/>
        <w:jc w:val="both"/>
        <w:rPr>
          <w:sz w:val="18"/>
        </w:rPr>
      </w:pPr>
      <w:r>
        <w:rPr>
          <w:sz w:val="18"/>
        </w:rPr>
        <w:t>Para la estructura de la información relativa a las obligaciones que se pagan o garantizan con</w:t>
      </w:r>
      <w:r>
        <w:rPr>
          <w:spacing w:val="1"/>
          <w:sz w:val="18"/>
        </w:rPr>
        <w:t> </w:t>
      </w:r>
      <w:r>
        <w:rPr>
          <w:sz w:val="18"/>
        </w:rPr>
        <w:t>recursos de fondos federales y su presentación, los entes obligados deberán observar los formatos</w:t>
      </w:r>
      <w:r>
        <w:rPr>
          <w:spacing w:val="1"/>
          <w:sz w:val="18"/>
        </w:rPr>
        <w:t> </w:t>
      </w:r>
      <w:r>
        <w:rPr>
          <w:sz w:val="18"/>
        </w:rPr>
        <w:t>siguientes:</w:t>
      </w:r>
    </w:p>
    <w:p>
      <w:pPr>
        <w:pStyle w:val="BodyText"/>
        <w:spacing w:before="3"/>
        <w:ind w:left="0"/>
        <w:rPr>
          <w:sz w:val="5"/>
        </w:rPr>
      </w:pPr>
    </w:p>
    <w:tbl>
      <w:tblPr>
        <w:tblW w:w="0" w:type="auto"/>
        <w:jc w:val="left"/>
        <w:tblInd w:w="2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7"/>
        <w:gridCol w:w="449"/>
        <w:gridCol w:w="451"/>
        <w:gridCol w:w="1378"/>
        <w:gridCol w:w="1349"/>
        <w:gridCol w:w="1081"/>
        <w:gridCol w:w="632"/>
        <w:gridCol w:w="795"/>
        <w:gridCol w:w="731"/>
        <w:gridCol w:w="788"/>
      </w:tblGrid>
      <w:tr>
        <w:trPr>
          <w:trHeight w:val="841" w:hRule="atLeast"/>
        </w:trPr>
        <w:tc>
          <w:tcPr>
            <w:tcW w:w="8751" w:type="dxa"/>
            <w:gridSpan w:val="10"/>
          </w:tcPr>
          <w:p>
            <w:pPr>
              <w:pStyle w:val="TableParagraph"/>
              <w:spacing w:before="60"/>
              <w:ind w:left="2072" w:right="2065"/>
              <w:jc w:val="center"/>
              <w:rPr>
                <w:sz w:val="12"/>
              </w:rPr>
            </w:pPr>
            <w:r>
              <w:rPr>
                <w:sz w:val="12"/>
              </w:rPr>
              <w:t>Entidad</w:t>
            </w:r>
            <w:r>
              <w:rPr>
                <w:spacing w:val="-4"/>
                <w:sz w:val="12"/>
              </w:rPr>
              <w:t> </w:t>
            </w:r>
            <w:r>
              <w:rPr>
                <w:sz w:val="12"/>
              </w:rPr>
              <w:t>Federativa/Municipio</w:t>
            </w:r>
          </w:p>
          <w:p>
            <w:pPr>
              <w:pStyle w:val="TableParagraph"/>
              <w:spacing w:line="280" w:lineRule="exact" w:before="29"/>
              <w:ind w:left="2073" w:right="2065"/>
              <w:jc w:val="center"/>
              <w:rPr>
                <w:sz w:val="12"/>
              </w:rPr>
            </w:pPr>
            <w:r>
              <w:rPr>
                <w:sz w:val="12"/>
              </w:rPr>
              <w:t>Formato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información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-4"/>
                <w:sz w:val="12"/>
              </w:rPr>
              <w:t> </w:t>
            </w:r>
            <w:r>
              <w:rPr>
                <w:sz w:val="12"/>
              </w:rPr>
              <w:t>obligaciones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pagadas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o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garantizadas</w:t>
            </w:r>
            <w:r>
              <w:rPr>
                <w:spacing w:val="-5"/>
                <w:sz w:val="12"/>
              </w:rPr>
              <w:t> </w:t>
            </w:r>
            <w:r>
              <w:rPr>
                <w:sz w:val="12"/>
              </w:rPr>
              <w:t>con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fondos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federales</w:t>
            </w:r>
            <w:r>
              <w:rPr>
                <w:spacing w:val="-30"/>
                <w:sz w:val="12"/>
              </w:rPr>
              <w:t> </w:t>
            </w:r>
            <w:r>
              <w:rPr>
                <w:sz w:val="12"/>
              </w:rPr>
              <w:t>Al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período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(trimestral)</w:t>
            </w:r>
          </w:p>
        </w:tc>
      </w:tr>
      <w:tr>
        <w:trPr>
          <w:trHeight w:val="926" w:hRule="atLeast"/>
        </w:trPr>
        <w:tc>
          <w:tcPr>
            <w:tcW w:w="1097" w:type="dxa"/>
            <w:vMerge w:val="restart"/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1"/>
              <w:rPr>
                <w:sz w:val="10"/>
              </w:rPr>
            </w:pPr>
          </w:p>
          <w:p>
            <w:pPr>
              <w:pStyle w:val="TableParagraph"/>
              <w:spacing w:line="372" w:lineRule="auto" w:before="1"/>
              <w:ind w:left="263" w:right="231" w:firstLine="81"/>
              <w:rPr>
                <w:sz w:val="12"/>
              </w:rPr>
            </w:pPr>
            <w:r>
              <w:rPr>
                <w:sz w:val="12"/>
              </w:rPr>
              <w:t>Tipo de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Obligación</w:t>
            </w:r>
          </w:p>
        </w:tc>
        <w:tc>
          <w:tcPr>
            <w:tcW w:w="449" w:type="dxa"/>
            <w:vMerge w:val="restart"/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84"/>
              <w:ind w:left="73"/>
              <w:rPr>
                <w:sz w:val="12"/>
              </w:rPr>
            </w:pPr>
            <w:r>
              <w:rPr>
                <w:sz w:val="12"/>
              </w:rPr>
              <w:t>Plazo</w:t>
            </w:r>
          </w:p>
        </w:tc>
        <w:tc>
          <w:tcPr>
            <w:tcW w:w="451" w:type="dxa"/>
            <w:vMerge w:val="restart"/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84"/>
              <w:ind w:left="90"/>
              <w:rPr>
                <w:sz w:val="12"/>
              </w:rPr>
            </w:pPr>
            <w:r>
              <w:rPr>
                <w:sz w:val="12"/>
              </w:rPr>
              <w:t>Tasa</w:t>
            </w:r>
          </w:p>
        </w:tc>
        <w:tc>
          <w:tcPr>
            <w:tcW w:w="1378" w:type="dxa"/>
            <w:vMerge w:val="restart"/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84"/>
              <w:ind w:left="126"/>
              <w:rPr>
                <w:sz w:val="12"/>
              </w:rPr>
            </w:pPr>
            <w:r>
              <w:rPr>
                <w:sz w:val="12"/>
              </w:rPr>
              <w:t>Fin,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Destino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y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Objeto</w:t>
            </w:r>
          </w:p>
        </w:tc>
        <w:tc>
          <w:tcPr>
            <w:tcW w:w="1349" w:type="dxa"/>
            <w:vMerge w:val="restart"/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1"/>
              <w:rPr>
                <w:sz w:val="10"/>
              </w:rPr>
            </w:pPr>
          </w:p>
          <w:p>
            <w:pPr>
              <w:pStyle w:val="TableParagraph"/>
              <w:spacing w:line="372" w:lineRule="auto" w:before="1"/>
              <w:ind w:left="383" w:right="38" w:hanging="315"/>
              <w:rPr>
                <w:sz w:val="12"/>
              </w:rPr>
            </w:pPr>
            <w:r>
              <w:rPr>
                <w:sz w:val="12"/>
              </w:rPr>
              <w:t>Acreedor, Proveedor o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Contratista</w:t>
            </w:r>
          </w:p>
        </w:tc>
        <w:tc>
          <w:tcPr>
            <w:tcW w:w="1081" w:type="dxa"/>
            <w:vMerge w:val="restart"/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84"/>
              <w:ind w:left="184"/>
              <w:rPr>
                <w:sz w:val="12"/>
              </w:rPr>
            </w:pPr>
            <w:r>
              <w:rPr>
                <w:sz w:val="12"/>
              </w:rPr>
              <w:t>Importe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Total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9" w:type="dxa"/>
            <w:gridSpan w:val="2"/>
          </w:tcPr>
          <w:p>
            <w:pPr>
              <w:pStyle w:val="TableParagraph"/>
              <w:spacing w:line="376" w:lineRule="auto" w:before="60"/>
              <w:ind w:left="110" w:right="106"/>
              <w:jc w:val="center"/>
              <w:rPr>
                <w:sz w:val="12"/>
              </w:rPr>
            </w:pPr>
            <w:r>
              <w:rPr>
                <w:sz w:val="12"/>
              </w:rPr>
              <w:t>Importe</w:t>
            </w:r>
            <w:r>
              <w:rPr>
                <w:spacing w:val="-4"/>
                <w:sz w:val="12"/>
              </w:rPr>
              <w:t> </w:t>
            </w:r>
            <w:r>
              <w:rPr>
                <w:sz w:val="12"/>
              </w:rPr>
              <w:t>y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porcentaje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del</w:t>
            </w:r>
            <w:r>
              <w:rPr>
                <w:spacing w:val="-30"/>
                <w:sz w:val="12"/>
              </w:rPr>
              <w:t> </w:t>
            </w:r>
            <w:r>
              <w:rPr>
                <w:sz w:val="12"/>
              </w:rPr>
              <w:t>total que se paga y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garantiza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con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el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recurso</w:t>
            </w:r>
          </w:p>
          <w:p>
            <w:pPr>
              <w:pStyle w:val="TableParagraph"/>
              <w:spacing w:line="134" w:lineRule="exact"/>
              <w:ind w:left="110" w:right="100"/>
              <w:jc w:val="center"/>
              <w:rPr>
                <w:sz w:val="12"/>
              </w:rPr>
            </w:pPr>
            <w:r>
              <w:rPr>
                <w:sz w:val="12"/>
              </w:rPr>
              <w:t>de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dichos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fondos</w:t>
            </w:r>
          </w:p>
        </w:tc>
      </w:tr>
      <w:tr>
        <w:trPr>
          <w:trHeight w:val="496" w:hRule="atLeast"/>
        </w:trPr>
        <w:tc>
          <w:tcPr>
            <w:tcW w:w="10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2" w:type="dxa"/>
          </w:tcPr>
          <w:p>
            <w:pPr>
              <w:pStyle w:val="TableParagraph"/>
              <w:spacing w:before="6"/>
              <w:rPr>
                <w:sz w:val="14"/>
              </w:rPr>
            </w:pPr>
          </w:p>
          <w:p>
            <w:pPr>
              <w:pStyle w:val="TableParagraph"/>
              <w:spacing w:before="1"/>
              <w:ind w:left="142"/>
              <w:rPr>
                <w:sz w:val="12"/>
              </w:rPr>
            </w:pPr>
            <w:r>
              <w:rPr>
                <w:sz w:val="12"/>
              </w:rPr>
              <w:t>Fondo</w:t>
            </w:r>
          </w:p>
        </w:tc>
        <w:tc>
          <w:tcPr>
            <w:tcW w:w="795" w:type="dxa"/>
          </w:tcPr>
          <w:p>
            <w:pPr>
              <w:pStyle w:val="TableParagraph"/>
              <w:spacing w:line="214" w:lineRule="exact" w:before="3"/>
              <w:ind w:left="67" w:right="39" w:firstLine="122"/>
              <w:rPr>
                <w:sz w:val="12"/>
              </w:rPr>
            </w:pPr>
            <w:r>
              <w:rPr>
                <w:sz w:val="12"/>
              </w:rPr>
              <w:t>Importe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Garantizado</w:t>
            </w:r>
          </w:p>
        </w:tc>
        <w:tc>
          <w:tcPr>
            <w:tcW w:w="731" w:type="dxa"/>
          </w:tcPr>
          <w:p>
            <w:pPr>
              <w:pStyle w:val="TableParagraph"/>
              <w:spacing w:line="214" w:lineRule="exact" w:before="3"/>
              <w:ind w:left="155" w:right="127" w:firstLine="2"/>
              <w:rPr>
                <w:sz w:val="12"/>
              </w:rPr>
            </w:pPr>
            <w:r>
              <w:rPr>
                <w:sz w:val="12"/>
              </w:rPr>
              <w:t>Importe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Pagado</w:t>
            </w:r>
          </w:p>
        </w:tc>
        <w:tc>
          <w:tcPr>
            <w:tcW w:w="788" w:type="dxa"/>
          </w:tcPr>
          <w:p>
            <w:pPr>
              <w:pStyle w:val="TableParagraph"/>
              <w:spacing w:line="214" w:lineRule="exact" w:before="3"/>
              <w:ind w:left="212" w:right="75" w:hanging="125"/>
              <w:rPr>
                <w:sz w:val="12"/>
              </w:rPr>
            </w:pPr>
            <w:r>
              <w:rPr>
                <w:spacing w:val="-1"/>
                <w:sz w:val="12"/>
              </w:rPr>
              <w:t>% respecto</w:t>
            </w:r>
            <w:r>
              <w:rPr>
                <w:spacing w:val="-31"/>
                <w:sz w:val="12"/>
              </w:rPr>
              <w:t> </w:t>
            </w:r>
            <w:r>
              <w:rPr>
                <w:sz w:val="12"/>
              </w:rPr>
              <w:t>al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total</w:t>
            </w:r>
          </w:p>
        </w:tc>
      </w:tr>
      <w:tr>
        <w:trPr>
          <w:trHeight w:val="280" w:hRule="atLeast"/>
        </w:trPr>
        <w:tc>
          <w:tcPr>
            <w:tcW w:w="109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3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0" w:hRule="atLeast"/>
        </w:trPr>
        <w:tc>
          <w:tcPr>
            <w:tcW w:w="109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3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0" w:hRule="atLeast"/>
        </w:trPr>
        <w:tc>
          <w:tcPr>
            <w:tcW w:w="109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7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3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type w:val="continuous"/>
          <w:pgSz w:w="12240" w:h="15840"/>
          <w:pgMar w:top="1200" w:bottom="280" w:left="1560" w:right="1560"/>
        </w:sectPr>
      </w:pPr>
    </w:p>
    <w:p>
      <w:pPr>
        <w:pStyle w:val="ListParagraph"/>
        <w:numPr>
          <w:ilvl w:val="0"/>
          <w:numId w:val="2"/>
        </w:numPr>
        <w:tabs>
          <w:tab w:pos="859" w:val="left" w:leader="none"/>
          <w:tab w:pos="860" w:val="left" w:leader="none"/>
        </w:tabs>
        <w:spacing w:line="324" w:lineRule="auto" w:before="84" w:after="47"/>
        <w:ind w:left="859" w:right="146" w:hanging="432"/>
        <w:jc w:val="left"/>
        <w:rPr>
          <w:sz w:val="18"/>
        </w:rPr>
      </w:pP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reducción</w:t>
      </w:r>
      <w:r>
        <w:rPr>
          <w:spacing w:val="2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saldo</w:t>
      </w:r>
      <w:r>
        <w:rPr>
          <w:spacing w:val="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su</w:t>
      </w:r>
      <w:r>
        <w:rPr>
          <w:spacing w:val="-1"/>
          <w:sz w:val="18"/>
        </w:rPr>
        <w:t> </w:t>
      </w:r>
      <w:r>
        <w:rPr>
          <w:sz w:val="18"/>
        </w:rPr>
        <w:t>deuda</w:t>
      </w:r>
      <w:r>
        <w:rPr>
          <w:spacing w:val="1"/>
          <w:sz w:val="18"/>
        </w:rPr>
        <w:t> </w:t>
      </w:r>
      <w:r>
        <w:rPr>
          <w:sz w:val="18"/>
        </w:rPr>
        <w:t>pública</w:t>
      </w:r>
      <w:r>
        <w:rPr>
          <w:spacing w:val="2"/>
          <w:sz w:val="18"/>
        </w:rPr>
        <w:t> </w:t>
      </w:r>
      <w:r>
        <w:rPr>
          <w:sz w:val="18"/>
        </w:rPr>
        <w:t>bruta</w:t>
      </w:r>
      <w:r>
        <w:rPr>
          <w:spacing w:val="1"/>
          <w:sz w:val="18"/>
        </w:rPr>
        <w:t> </w:t>
      </w:r>
      <w:r>
        <w:rPr>
          <w:sz w:val="18"/>
        </w:rPr>
        <w:t>total</w:t>
      </w:r>
      <w:r>
        <w:rPr>
          <w:spacing w:val="-1"/>
          <w:sz w:val="18"/>
        </w:rPr>
        <w:t> </w:t>
      </w:r>
      <w:r>
        <w:rPr>
          <w:sz w:val="18"/>
        </w:rPr>
        <w:t>con</w:t>
      </w:r>
      <w:r>
        <w:rPr>
          <w:spacing w:val="-1"/>
          <w:sz w:val="18"/>
        </w:rPr>
        <w:t> </w:t>
      </w:r>
      <w:r>
        <w:rPr>
          <w:sz w:val="18"/>
        </w:rPr>
        <w:t>motivo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cada</w:t>
      </w:r>
      <w:r>
        <w:rPr>
          <w:spacing w:val="1"/>
          <w:sz w:val="18"/>
        </w:rPr>
        <w:t> </w:t>
      </w:r>
      <w:r>
        <w:rPr>
          <w:sz w:val="18"/>
        </w:rPr>
        <w:t>una</w:t>
      </w:r>
      <w:r>
        <w:rPr>
          <w:spacing w:val="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2"/>
          <w:sz w:val="18"/>
        </w:rPr>
        <w:t> </w:t>
      </w:r>
      <w:r>
        <w:rPr>
          <w:sz w:val="18"/>
        </w:rPr>
        <w:t>amortizaciones</w:t>
      </w:r>
      <w:r>
        <w:rPr>
          <w:spacing w:val="-47"/>
          <w:sz w:val="18"/>
        </w:rPr>
        <w:t> </w:t>
      </w:r>
      <w:r>
        <w:rPr>
          <w:sz w:val="18"/>
        </w:rPr>
        <w:t>a</w:t>
      </w:r>
      <w:r>
        <w:rPr>
          <w:spacing w:val="-3"/>
          <w:sz w:val="18"/>
        </w:rPr>
        <w:t> </w:t>
      </w:r>
      <w:r>
        <w:rPr>
          <w:sz w:val="18"/>
        </w:rPr>
        <w:t>que</w:t>
      </w:r>
      <w:r>
        <w:rPr>
          <w:spacing w:val="-4"/>
          <w:sz w:val="18"/>
        </w:rPr>
        <w:t> </w:t>
      </w: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refiere</w:t>
      </w:r>
      <w:r>
        <w:rPr>
          <w:spacing w:val="-2"/>
          <w:sz w:val="18"/>
        </w:rPr>
        <w:t> </w:t>
      </w:r>
      <w:r>
        <w:rPr>
          <w:sz w:val="18"/>
        </w:rPr>
        <w:t>este</w:t>
      </w:r>
      <w:r>
        <w:rPr>
          <w:spacing w:val="-5"/>
          <w:sz w:val="18"/>
        </w:rPr>
        <w:t> </w:t>
      </w:r>
      <w:r>
        <w:rPr>
          <w:sz w:val="18"/>
        </w:rPr>
        <w:t>artículo,</w:t>
      </w:r>
      <w:r>
        <w:rPr>
          <w:spacing w:val="-4"/>
          <w:sz w:val="18"/>
        </w:rPr>
        <w:t> </w:t>
      </w:r>
      <w:r>
        <w:rPr>
          <w:sz w:val="18"/>
        </w:rPr>
        <w:t>con</w:t>
      </w:r>
      <w:r>
        <w:rPr>
          <w:spacing w:val="-2"/>
          <w:sz w:val="18"/>
        </w:rPr>
        <w:t> </w:t>
      </w:r>
      <w:r>
        <w:rPr>
          <w:sz w:val="18"/>
        </w:rPr>
        <w:t>relación</w:t>
      </w:r>
      <w:r>
        <w:rPr>
          <w:spacing w:val="-2"/>
          <w:sz w:val="18"/>
        </w:rPr>
        <w:t> </w:t>
      </w:r>
      <w:r>
        <w:rPr>
          <w:sz w:val="18"/>
        </w:rPr>
        <w:t>al</w:t>
      </w:r>
      <w:r>
        <w:rPr>
          <w:spacing w:val="-4"/>
          <w:sz w:val="18"/>
        </w:rPr>
        <w:t> </w:t>
      </w:r>
      <w:r>
        <w:rPr>
          <w:sz w:val="18"/>
        </w:rPr>
        <w:t>registrado</w:t>
      </w:r>
      <w:r>
        <w:rPr>
          <w:spacing w:val="-3"/>
          <w:sz w:val="18"/>
        </w:rPr>
        <w:t> </w:t>
      </w:r>
      <w:r>
        <w:rPr>
          <w:sz w:val="18"/>
        </w:rPr>
        <w:t>al</w:t>
      </w:r>
      <w:r>
        <w:rPr>
          <w:spacing w:val="-2"/>
          <w:sz w:val="18"/>
        </w:rPr>
        <w:t> </w:t>
      </w:r>
      <w:r>
        <w:rPr>
          <w:sz w:val="18"/>
        </w:rPr>
        <w:t>31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diciembre</w:t>
      </w:r>
      <w:r>
        <w:rPr>
          <w:spacing w:val="-2"/>
          <w:sz w:val="18"/>
        </w:rPr>
        <w:t> </w:t>
      </w:r>
      <w:r>
        <w:rPr>
          <w:sz w:val="18"/>
        </w:rPr>
        <w:t>del</w:t>
      </w:r>
      <w:r>
        <w:rPr>
          <w:spacing w:val="-3"/>
          <w:sz w:val="18"/>
        </w:rPr>
        <w:t> </w:t>
      </w:r>
      <w:r>
        <w:rPr>
          <w:sz w:val="18"/>
        </w:rPr>
        <w:t>ejercicio</w:t>
      </w:r>
      <w:r>
        <w:rPr>
          <w:spacing w:val="-2"/>
          <w:sz w:val="18"/>
        </w:rPr>
        <w:t> </w:t>
      </w:r>
      <w:r>
        <w:rPr>
          <w:sz w:val="18"/>
        </w:rPr>
        <w:t>fiscal</w:t>
      </w:r>
      <w:r>
        <w:rPr>
          <w:spacing w:val="-2"/>
          <w:sz w:val="18"/>
        </w:rPr>
        <w:t> </w:t>
      </w:r>
      <w:r>
        <w:rPr>
          <w:sz w:val="18"/>
        </w:rPr>
        <w:t>anterior.</w:t>
      </w:r>
    </w:p>
    <w:tbl>
      <w:tblPr>
        <w:tblW w:w="0" w:type="auto"/>
        <w:jc w:val="left"/>
        <w:tblInd w:w="15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89"/>
        <w:gridCol w:w="1260"/>
      </w:tblGrid>
      <w:tr>
        <w:trPr>
          <w:trHeight w:val="378" w:hRule="atLeast"/>
        </w:trPr>
        <w:tc>
          <w:tcPr>
            <w:tcW w:w="478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>
            <w:pPr>
              <w:pStyle w:val="TableParagraph"/>
              <w:spacing w:before="70"/>
              <w:ind w:left="357"/>
              <w:rPr>
                <w:sz w:val="16"/>
              </w:rPr>
            </w:pPr>
            <w:r>
              <w:rPr>
                <w:sz w:val="16"/>
              </w:rPr>
              <w:t>Importe</w:t>
            </w:r>
          </w:p>
        </w:tc>
      </w:tr>
      <w:tr>
        <w:trPr>
          <w:trHeight w:val="378" w:hRule="atLeast"/>
        </w:trPr>
        <w:tc>
          <w:tcPr>
            <w:tcW w:w="4789" w:type="dxa"/>
          </w:tcPr>
          <w:p>
            <w:pPr>
              <w:pStyle w:val="TableParagraph"/>
              <w:spacing w:before="70"/>
              <w:ind w:left="71"/>
              <w:rPr>
                <w:sz w:val="16"/>
              </w:rPr>
            </w:pPr>
            <w:r>
              <w:rPr>
                <w:sz w:val="16"/>
              </w:rPr>
              <w:t>Deuda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Bruta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Total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31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diciembre 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Año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X</w:t>
            </w:r>
          </w:p>
        </w:tc>
        <w:tc>
          <w:tcPr>
            <w:tcW w:w="12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78" w:hRule="atLeast"/>
        </w:trPr>
        <w:tc>
          <w:tcPr>
            <w:tcW w:w="4789" w:type="dxa"/>
          </w:tcPr>
          <w:p>
            <w:pPr>
              <w:pStyle w:val="TableParagraph"/>
              <w:spacing w:before="70"/>
              <w:ind w:left="71"/>
              <w:rPr>
                <w:sz w:val="16"/>
              </w:rPr>
            </w:pPr>
            <w:r>
              <w:rPr>
                <w:sz w:val="16"/>
              </w:rPr>
              <w:t>(-)Amortización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</w:t>
            </w:r>
          </w:p>
        </w:tc>
        <w:tc>
          <w:tcPr>
            <w:tcW w:w="12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78" w:hRule="atLeast"/>
        </w:trPr>
        <w:tc>
          <w:tcPr>
            <w:tcW w:w="4789" w:type="dxa"/>
          </w:tcPr>
          <w:p>
            <w:pPr>
              <w:pStyle w:val="TableParagraph"/>
              <w:spacing w:before="70"/>
              <w:ind w:left="71"/>
              <w:rPr>
                <w:sz w:val="16"/>
              </w:rPr>
            </w:pPr>
            <w:r>
              <w:rPr>
                <w:sz w:val="16"/>
              </w:rPr>
              <w:t>Deuda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Bruta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Total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descontando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amortización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</w:t>
            </w:r>
          </w:p>
        </w:tc>
        <w:tc>
          <w:tcPr>
            <w:tcW w:w="12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80" w:hRule="atLeast"/>
        </w:trPr>
        <w:tc>
          <w:tcPr>
            <w:tcW w:w="4789" w:type="dxa"/>
          </w:tcPr>
          <w:p>
            <w:pPr>
              <w:pStyle w:val="TableParagraph"/>
              <w:spacing w:before="73"/>
              <w:ind w:left="71"/>
              <w:rPr>
                <w:sz w:val="16"/>
              </w:rPr>
            </w:pPr>
            <w:r>
              <w:rPr>
                <w:sz w:val="16"/>
              </w:rPr>
              <w:t>(-)Amortización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</w:t>
            </w:r>
          </w:p>
        </w:tc>
        <w:tc>
          <w:tcPr>
            <w:tcW w:w="12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78" w:hRule="atLeast"/>
        </w:trPr>
        <w:tc>
          <w:tcPr>
            <w:tcW w:w="4789" w:type="dxa"/>
          </w:tcPr>
          <w:p>
            <w:pPr>
              <w:pStyle w:val="TableParagraph"/>
              <w:spacing w:before="70"/>
              <w:ind w:left="71"/>
              <w:rPr>
                <w:sz w:val="16"/>
              </w:rPr>
            </w:pPr>
            <w:r>
              <w:rPr>
                <w:sz w:val="16"/>
              </w:rPr>
              <w:t>Deuda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Bruta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Total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descontando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amortización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</w:t>
            </w:r>
          </w:p>
        </w:tc>
        <w:tc>
          <w:tcPr>
            <w:tcW w:w="12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17"/>
        </w:rPr>
      </w:pPr>
    </w:p>
    <w:p>
      <w:pPr>
        <w:pStyle w:val="ListParagraph"/>
        <w:numPr>
          <w:ilvl w:val="0"/>
          <w:numId w:val="2"/>
        </w:numPr>
        <w:tabs>
          <w:tab w:pos="859" w:val="left" w:leader="none"/>
          <w:tab w:pos="860" w:val="left" w:leader="none"/>
        </w:tabs>
        <w:spacing w:line="324" w:lineRule="auto" w:before="0" w:after="47"/>
        <w:ind w:left="859" w:right="135" w:hanging="432"/>
        <w:jc w:val="left"/>
        <w:rPr>
          <w:sz w:val="18"/>
        </w:rPr>
      </w:pPr>
      <w:r>
        <w:rPr>
          <w:sz w:val="18"/>
        </w:rPr>
        <w:t>Un</w:t>
      </w:r>
      <w:r>
        <w:rPr>
          <w:spacing w:val="12"/>
          <w:sz w:val="18"/>
        </w:rPr>
        <w:t> </w:t>
      </w:r>
      <w:r>
        <w:rPr>
          <w:sz w:val="18"/>
        </w:rPr>
        <w:t>comparativo</w:t>
      </w:r>
      <w:r>
        <w:rPr>
          <w:spacing w:val="13"/>
          <w:sz w:val="18"/>
        </w:rPr>
        <w:t> </w:t>
      </w:r>
      <w:r>
        <w:rPr>
          <w:sz w:val="18"/>
        </w:rPr>
        <w:t>de</w:t>
      </w:r>
      <w:r>
        <w:rPr>
          <w:spacing w:val="13"/>
          <w:sz w:val="18"/>
        </w:rPr>
        <w:t> </w:t>
      </w:r>
      <w:r>
        <w:rPr>
          <w:sz w:val="18"/>
        </w:rPr>
        <w:t>la</w:t>
      </w:r>
      <w:r>
        <w:rPr>
          <w:spacing w:val="13"/>
          <w:sz w:val="18"/>
        </w:rPr>
        <w:t> </w:t>
      </w:r>
      <w:r>
        <w:rPr>
          <w:sz w:val="18"/>
        </w:rPr>
        <w:t>relación</w:t>
      </w:r>
      <w:r>
        <w:rPr>
          <w:spacing w:val="11"/>
          <w:sz w:val="18"/>
        </w:rPr>
        <w:t> </w:t>
      </w:r>
      <w:r>
        <w:rPr>
          <w:sz w:val="18"/>
        </w:rPr>
        <w:t>deuda</w:t>
      </w:r>
      <w:r>
        <w:rPr>
          <w:spacing w:val="13"/>
          <w:sz w:val="18"/>
        </w:rPr>
        <w:t> </w:t>
      </w:r>
      <w:r>
        <w:rPr>
          <w:sz w:val="18"/>
        </w:rPr>
        <w:t>pública</w:t>
      </w:r>
      <w:r>
        <w:rPr>
          <w:spacing w:val="11"/>
          <w:sz w:val="18"/>
        </w:rPr>
        <w:t> </w:t>
      </w:r>
      <w:r>
        <w:rPr>
          <w:sz w:val="18"/>
        </w:rPr>
        <w:t>bruta</w:t>
      </w:r>
      <w:r>
        <w:rPr>
          <w:spacing w:val="13"/>
          <w:sz w:val="18"/>
        </w:rPr>
        <w:t> </w:t>
      </w:r>
      <w:r>
        <w:rPr>
          <w:sz w:val="18"/>
        </w:rPr>
        <w:t>total</w:t>
      </w:r>
      <w:r>
        <w:rPr>
          <w:spacing w:val="11"/>
          <w:sz w:val="18"/>
        </w:rPr>
        <w:t> </w:t>
      </w:r>
      <w:r>
        <w:rPr>
          <w:sz w:val="18"/>
        </w:rPr>
        <w:t>a</w:t>
      </w:r>
      <w:r>
        <w:rPr>
          <w:spacing w:val="13"/>
          <w:sz w:val="18"/>
        </w:rPr>
        <w:t> </w:t>
      </w:r>
      <w:r>
        <w:rPr>
          <w:sz w:val="18"/>
        </w:rPr>
        <w:t>producto</w:t>
      </w:r>
      <w:r>
        <w:rPr>
          <w:spacing w:val="13"/>
          <w:sz w:val="18"/>
        </w:rPr>
        <w:t> </w:t>
      </w:r>
      <w:r>
        <w:rPr>
          <w:sz w:val="18"/>
        </w:rPr>
        <w:t>interno</w:t>
      </w:r>
      <w:r>
        <w:rPr>
          <w:spacing w:val="13"/>
          <w:sz w:val="18"/>
        </w:rPr>
        <w:t> </w:t>
      </w:r>
      <w:r>
        <w:rPr>
          <w:sz w:val="18"/>
        </w:rPr>
        <w:t>bruto</w:t>
      </w:r>
      <w:r>
        <w:rPr>
          <w:spacing w:val="12"/>
          <w:sz w:val="18"/>
        </w:rPr>
        <w:t> </w:t>
      </w:r>
      <w:r>
        <w:rPr>
          <w:sz w:val="18"/>
        </w:rPr>
        <w:t>del</w:t>
      </w:r>
      <w:r>
        <w:rPr>
          <w:spacing w:val="11"/>
          <w:sz w:val="18"/>
        </w:rPr>
        <w:t> </w:t>
      </w:r>
      <w:r>
        <w:rPr>
          <w:sz w:val="18"/>
        </w:rPr>
        <w:t>estado</w:t>
      </w:r>
      <w:r>
        <w:rPr>
          <w:spacing w:val="13"/>
          <w:sz w:val="18"/>
        </w:rPr>
        <w:t> </w:t>
      </w:r>
      <w:r>
        <w:rPr>
          <w:sz w:val="18"/>
        </w:rPr>
        <w:t>entre</w:t>
      </w:r>
      <w:r>
        <w:rPr>
          <w:spacing w:val="13"/>
          <w:sz w:val="18"/>
        </w:rPr>
        <w:t> </w:t>
      </w:r>
      <w:r>
        <w:rPr>
          <w:sz w:val="18"/>
        </w:rPr>
        <w:t>el</w:t>
      </w:r>
      <w:r>
        <w:rPr>
          <w:spacing w:val="-47"/>
          <w:sz w:val="18"/>
        </w:rPr>
        <w:t> </w:t>
      </w:r>
      <w:r>
        <w:rPr>
          <w:sz w:val="18"/>
        </w:rPr>
        <w:t>31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diciembre</w:t>
      </w:r>
      <w:r>
        <w:rPr>
          <w:spacing w:val="-2"/>
          <w:sz w:val="18"/>
        </w:rPr>
        <w:t> </w:t>
      </w:r>
      <w:r>
        <w:rPr>
          <w:sz w:val="18"/>
        </w:rPr>
        <w:t>del</w:t>
      </w:r>
      <w:r>
        <w:rPr>
          <w:spacing w:val="-3"/>
          <w:sz w:val="18"/>
        </w:rPr>
        <w:t> </w:t>
      </w:r>
      <w:r>
        <w:rPr>
          <w:sz w:val="18"/>
        </w:rPr>
        <w:t>ejercicio</w:t>
      </w:r>
      <w:r>
        <w:rPr>
          <w:spacing w:val="-2"/>
          <w:sz w:val="18"/>
        </w:rPr>
        <w:t> </w:t>
      </w:r>
      <w:r>
        <w:rPr>
          <w:sz w:val="18"/>
        </w:rPr>
        <w:t>fiscal anterior</w:t>
      </w:r>
      <w:r>
        <w:rPr>
          <w:spacing w:val="-3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la fecha de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amortización.</w:t>
      </w:r>
    </w:p>
    <w:tbl>
      <w:tblPr>
        <w:tblW w:w="0" w:type="auto"/>
        <w:jc w:val="left"/>
        <w:tblInd w:w="11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01"/>
        <w:gridCol w:w="1801"/>
        <w:gridCol w:w="1513"/>
      </w:tblGrid>
      <w:tr>
        <w:trPr>
          <w:trHeight w:val="1036" w:hRule="atLeast"/>
        </w:trPr>
        <w:tc>
          <w:tcPr>
            <w:tcW w:w="360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spacing w:line="362" w:lineRule="auto"/>
              <w:ind w:left="626" w:right="147" w:hanging="457"/>
              <w:rPr>
                <w:sz w:val="16"/>
              </w:rPr>
            </w:pPr>
            <w:r>
              <w:rPr>
                <w:sz w:val="16"/>
              </w:rPr>
              <w:t>Al 31 de dic. del año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anterior</w:t>
            </w:r>
          </w:p>
        </w:tc>
        <w:tc>
          <w:tcPr>
            <w:tcW w:w="1513" w:type="dxa"/>
          </w:tcPr>
          <w:p>
            <w:pPr>
              <w:pStyle w:val="TableParagraph"/>
              <w:spacing w:line="362" w:lineRule="auto" w:before="71"/>
              <w:ind w:left="485" w:right="128" w:hanging="336"/>
              <w:rPr>
                <w:sz w:val="16"/>
              </w:rPr>
            </w:pPr>
            <w:r>
              <w:rPr>
                <w:sz w:val="16"/>
              </w:rPr>
              <w:t>Trimestre que se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informa</w:t>
            </w:r>
          </w:p>
        </w:tc>
      </w:tr>
      <w:tr>
        <w:trPr>
          <w:trHeight w:val="378" w:hRule="atLeast"/>
        </w:trPr>
        <w:tc>
          <w:tcPr>
            <w:tcW w:w="3601" w:type="dxa"/>
          </w:tcPr>
          <w:p>
            <w:pPr>
              <w:pStyle w:val="TableParagraph"/>
              <w:spacing w:before="70"/>
              <w:ind w:left="1425"/>
              <w:rPr>
                <w:sz w:val="16"/>
              </w:rPr>
            </w:pPr>
            <w:r>
              <w:rPr>
                <w:sz w:val="16"/>
              </w:rPr>
              <w:t>Producto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interno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bruto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estatal</w:t>
            </w:r>
          </w:p>
        </w:tc>
        <w:tc>
          <w:tcPr>
            <w:tcW w:w="180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78" w:hRule="atLeast"/>
        </w:trPr>
        <w:tc>
          <w:tcPr>
            <w:tcW w:w="3601" w:type="dxa"/>
          </w:tcPr>
          <w:p>
            <w:pPr>
              <w:pStyle w:val="TableParagraph"/>
              <w:spacing w:before="70"/>
              <w:ind w:left="69"/>
              <w:rPr>
                <w:sz w:val="16"/>
              </w:rPr>
            </w:pPr>
            <w:r>
              <w:rPr>
                <w:sz w:val="16"/>
              </w:rPr>
              <w:t>Saldo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deuda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pública</w:t>
            </w:r>
          </w:p>
        </w:tc>
        <w:tc>
          <w:tcPr>
            <w:tcW w:w="180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78" w:hRule="atLeast"/>
        </w:trPr>
        <w:tc>
          <w:tcPr>
            <w:tcW w:w="3601" w:type="dxa"/>
          </w:tcPr>
          <w:p>
            <w:pPr>
              <w:pStyle w:val="TableParagraph"/>
              <w:spacing w:before="70"/>
              <w:ind w:left="69"/>
              <w:rPr>
                <w:sz w:val="16"/>
              </w:rPr>
            </w:pPr>
            <w:r>
              <w:rPr>
                <w:sz w:val="16"/>
              </w:rPr>
              <w:t>Porcentaje</w:t>
            </w:r>
          </w:p>
        </w:tc>
        <w:tc>
          <w:tcPr>
            <w:tcW w:w="180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17"/>
        </w:rPr>
      </w:pPr>
    </w:p>
    <w:p>
      <w:pPr>
        <w:pStyle w:val="ListParagraph"/>
        <w:numPr>
          <w:ilvl w:val="0"/>
          <w:numId w:val="2"/>
        </w:numPr>
        <w:tabs>
          <w:tab w:pos="859" w:val="left" w:leader="none"/>
          <w:tab w:pos="860" w:val="left" w:leader="none"/>
        </w:tabs>
        <w:spacing w:line="324" w:lineRule="auto" w:before="0" w:after="47"/>
        <w:ind w:left="859" w:right="142" w:hanging="432"/>
        <w:jc w:val="left"/>
        <w:rPr>
          <w:sz w:val="18"/>
        </w:rPr>
      </w:pPr>
      <w:r>
        <w:rPr>
          <w:sz w:val="18"/>
        </w:rPr>
        <w:t>Un</w:t>
      </w:r>
      <w:r>
        <w:rPr>
          <w:spacing w:val="17"/>
          <w:sz w:val="18"/>
        </w:rPr>
        <w:t> </w:t>
      </w:r>
      <w:r>
        <w:rPr>
          <w:sz w:val="18"/>
        </w:rPr>
        <w:t>comparativo</w:t>
      </w:r>
      <w:r>
        <w:rPr>
          <w:spacing w:val="18"/>
          <w:sz w:val="18"/>
        </w:rPr>
        <w:t> </w:t>
      </w:r>
      <w:r>
        <w:rPr>
          <w:sz w:val="18"/>
        </w:rPr>
        <w:t>de</w:t>
      </w:r>
      <w:r>
        <w:rPr>
          <w:spacing w:val="18"/>
          <w:sz w:val="18"/>
        </w:rPr>
        <w:t> </w:t>
      </w:r>
      <w:r>
        <w:rPr>
          <w:sz w:val="18"/>
        </w:rPr>
        <w:t>la</w:t>
      </w:r>
      <w:r>
        <w:rPr>
          <w:spacing w:val="20"/>
          <w:sz w:val="18"/>
        </w:rPr>
        <w:t> </w:t>
      </w:r>
      <w:r>
        <w:rPr>
          <w:sz w:val="18"/>
        </w:rPr>
        <w:t>relación</w:t>
      </w:r>
      <w:r>
        <w:rPr>
          <w:spacing w:val="19"/>
          <w:sz w:val="18"/>
        </w:rPr>
        <w:t> </w:t>
      </w:r>
      <w:r>
        <w:rPr>
          <w:sz w:val="18"/>
        </w:rPr>
        <w:t>deuda</w:t>
      </w:r>
      <w:r>
        <w:rPr>
          <w:spacing w:val="18"/>
          <w:sz w:val="18"/>
        </w:rPr>
        <w:t> </w:t>
      </w:r>
      <w:r>
        <w:rPr>
          <w:sz w:val="18"/>
        </w:rPr>
        <w:t>pública</w:t>
      </w:r>
      <w:r>
        <w:rPr>
          <w:spacing w:val="18"/>
          <w:sz w:val="18"/>
        </w:rPr>
        <w:t> </w:t>
      </w:r>
      <w:r>
        <w:rPr>
          <w:sz w:val="18"/>
        </w:rPr>
        <w:t>bruta</w:t>
      </w:r>
      <w:r>
        <w:rPr>
          <w:spacing w:val="18"/>
          <w:sz w:val="18"/>
        </w:rPr>
        <w:t> </w:t>
      </w:r>
      <w:r>
        <w:rPr>
          <w:sz w:val="18"/>
        </w:rPr>
        <w:t>total</w:t>
      </w:r>
      <w:r>
        <w:rPr>
          <w:spacing w:val="18"/>
          <w:sz w:val="18"/>
        </w:rPr>
        <w:t> </w:t>
      </w:r>
      <w:r>
        <w:rPr>
          <w:sz w:val="18"/>
        </w:rPr>
        <w:t>a</w:t>
      </w:r>
      <w:r>
        <w:rPr>
          <w:spacing w:val="19"/>
          <w:sz w:val="18"/>
        </w:rPr>
        <w:t> </w:t>
      </w:r>
      <w:r>
        <w:rPr>
          <w:sz w:val="18"/>
        </w:rPr>
        <w:t>ingresos</w:t>
      </w:r>
      <w:r>
        <w:rPr>
          <w:spacing w:val="18"/>
          <w:sz w:val="18"/>
        </w:rPr>
        <w:t> </w:t>
      </w:r>
      <w:r>
        <w:rPr>
          <w:sz w:val="18"/>
        </w:rPr>
        <w:t>propios</w:t>
      </w:r>
      <w:r>
        <w:rPr>
          <w:spacing w:val="18"/>
          <w:sz w:val="18"/>
        </w:rPr>
        <w:t> </w:t>
      </w:r>
      <w:r>
        <w:rPr>
          <w:sz w:val="18"/>
        </w:rPr>
        <w:t>del</w:t>
      </w:r>
      <w:r>
        <w:rPr>
          <w:spacing w:val="18"/>
          <w:sz w:val="18"/>
        </w:rPr>
        <w:t> </w:t>
      </w:r>
      <w:r>
        <w:rPr>
          <w:sz w:val="18"/>
        </w:rPr>
        <w:t>estado</w:t>
      </w:r>
      <w:r>
        <w:rPr>
          <w:spacing w:val="19"/>
          <w:sz w:val="18"/>
        </w:rPr>
        <w:t> </w:t>
      </w:r>
      <w:r>
        <w:rPr>
          <w:sz w:val="18"/>
        </w:rPr>
        <w:t>o</w:t>
      </w:r>
      <w:r>
        <w:rPr>
          <w:spacing w:val="15"/>
          <w:sz w:val="18"/>
        </w:rPr>
        <w:t> </w:t>
      </w:r>
      <w:r>
        <w:rPr>
          <w:sz w:val="18"/>
        </w:rPr>
        <w:t>municipio,</w:t>
      </w:r>
      <w:r>
        <w:rPr>
          <w:spacing w:val="-47"/>
          <w:sz w:val="18"/>
        </w:rPr>
        <w:t> </w:t>
      </w:r>
      <w:r>
        <w:rPr>
          <w:sz w:val="18"/>
        </w:rPr>
        <w:t>según</w:t>
      </w:r>
      <w:r>
        <w:rPr>
          <w:spacing w:val="-3"/>
          <w:sz w:val="18"/>
        </w:rPr>
        <w:t> </w:t>
      </w:r>
      <w:r>
        <w:rPr>
          <w:sz w:val="18"/>
        </w:rPr>
        <w:t>corresponda,</w:t>
      </w:r>
      <w:r>
        <w:rPr>
          <w:spacing w:val="-2"/>
          <w:sz w:val="18"/>
        </w:rPr>
        <w:t> </w:t>
      </w:r>
      <w:r>
        <w:rPr>
          <w:sz w:val="18"/>
        </w:rPr>
        <w:t>entre</w:t>
      </w:r>
      <w:r>
        <w:rPr>
          <w:spacing w:val="-4"/>
          <w:sz w:val="18"/>
        </w:rPr>
        <w:t> </w:t>
      </w:r>
      <w:r>
        <w:rPr>
          <w:sz w:val="18"/>
        </w:rPr>
        <w:t>el</w:t>
      </w:r>
      <w:r>
        <w:rPr>
          <w:spacing w:val="-2"/>
          <w:sz w:val="18"/>
        </w:rPr>
        <w:t> </w:t>
      </w:r>
      <w:r>
        <w:rPr>
          <w:sz w:val="18"/>
        </w:rPr>
        <w:t>31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diciembre</w:t>
      </w:r>
      <w:r>
        <w:rPr>
          <w:spacing w:val="-2"/>
          <w:sz w:val="18"/>
        </w:rPr>
        <w:t> </w:t>
      </w:r>
      <w:r>
        <w:rPr>
          <w:sz w:val="18"/>
        </w:rPr>
        <w:t>del</w:t>
      </w:r>
      <w:r>
        <w:rPr>
          <w:spacing w:val="-4"/>
          <w:sz w:val="18"/>
        </w:rPr>
        <w:t> </w:t>
      </w:r>
      <w:r>
        <w:rPr>
          <w:sz w:val="18"/>
        </w:rPr>
        <w:t>ejercicio</w:t>
      </w:r>
      <w:r>
        <w:rPr>
          <w:spacing w:val="-2"/>
          <w:sz w:val="18"/>
        </w:rPr>
        <w:t> </w:t>
      </w:r>
      <w:r>
        <w:rPr>
          <w:sz w:val="18"/>
        </w:rPr>
        <w:t>fiscal</w:t>
      </w:r>
      <w:r>
        <w:rPr>
          <w:spacing w:val="-4"/>
          <w:sz w:val="18"/>
        </w:rPr>
        <w:t> </w:t>
      </w:r>
      <w:r>
        <w:rPr>
          <w:sz w:val="18"/>
        </w:rPr>
        <w:t>anterior</w:t>
      </w:r>
      <w:r>
        <w:rPr>
          <w:spacing w:val="-2"/>
          <w:sz w:val="18"/>
        </w:rPr>
        <w:t> </w:t>
      </w:r>
      <w:r>
        <w:rPr>
          <w:sz w:val="18"/>
        </w:rPr>
        <w:t>y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fecha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amortización.</w:t>
      </w:r>
    </w:p>
    <w:tbl>
      <w:tblPr>
        <w:tblW w:w="0" w:type="auto"/>
        <w:jc w:val="left"/>
        <w:tblInd w:w="11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01"/>
        <w:gridCol w:w="1801"/>
        <w:gridCol w:w="1530"/>
      </w:tblGrid>
      <w:tr>
        <w:trPr>
          <w:trHeight w:val="1036" w:hRule="atLeast"/>
        </w:trPr>
        <w:tc>
          <w:tcPr>
            <w:tcW w:w="360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spacing w:line="362" w:lineRule="auto"/>
              <w:ind w:left="626" w:right="147" w:hanging="457"/>
              <w:rPr>
                <w:sz w:val="16"/>
              </w:rPr>
            </w:pPr>
            <w:r>
              <w:rPr>
                <w:sz w:val="16"/>
              </w:rPr>
              <w:t>Al 31 de dic. del año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anterior</w:t>
            </w:r>
          </w:p>
        </w:tc>
        <w:tc>
          <w:tcPr>
            <w:tcW w:w="1530" w:type="dxa"/>
          </w:tcPr>
          <w:p>
            <w:pPr>
              <w:pStyle w:val="TableParagraph"/>
              <w:spacing w:line="364" w:lineRule="auto" w:before="70"/>
              <w:ind w:left="495" w:right="135" w:hanging="336"/>
              <w:rPr>
                <w:sz w:val="16"/>
              </w:rPr>
            </w:pPr>
            <w:r>
              <w:rPr>
                <w:sz w:val="16"/>
              </w:rPr>
              <w:t>Trimestre que se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informa</w:t>
            </w:r>
          </w:p>
        </w:tc>
      </w:tr>
      <w:tr>
        <w:trPr>
          <w:trHeight w:val="378" w:hRule="atLeast"/>
        </w:trPr>
        <w:tc>
          <w:tcPr>
            <w:tcW w:w="3601" w:type="dxa"/>
          </w:tcPr>
          <w:p>
            <w:pPr>
              <w:pStyle w:val="TableParagraph"/>
              <w:spacing w:before="70"/>
              <w:ind w:left="2325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Propios</w:t>
            </w:r>
          </w:p>
        </w:tc>
        <w:tc>
          <w:tcPr>
            <w:tcW w:w="180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78" w:hRule="atLeast"/>
        </w:trPr>
        <w:tc>
          <w:tcPr>
            <w:tcW w:w="3601" w:type="dxa"/>
          </w:tcPr>
          <w:p>
            <w:pPr>
              <w:pStyle w:val="TableParagraph"/>
              <w:spacing w:before="70"/>
              <w:ind w:left="69"/>
              <w:rPr>
                <w:sz w:val="16"/>
              </w:rPr>
            </w:pPr>
            <w:r>
              <w:rPr>
                <w:sz w:val="16"/>
              </w:rPr>
              <w:t>Saldo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 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Deuda Pública</w:t>
            </w:r>
          </w:p>
        </w:tc>
        <w:tc>
          <w:tcPr>
            <w:tcW w:w="180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80" w:hRule="atLeast"/>
        </w:trPr>
        <w:tc>
          <w:tcPr>
            <w:tcW w:w="3601" w:type="dxa"/>
          </w:tcPr>
          <w:p>
            <w:pPr>
              <w:pStyle w:val="TableParagraph"/>
              <w:spacing w:before="70"/>
              <w:ind w:left="69"/>
              <w:rPr>
                <w:sz w:val="16"/>
              </w:rPr>
            </w:pPr>
            <w:r>
              <w:rPr>
                <w:sz w:val="16"/>
              </w:rPr>
              <w:t>Porcentaje</w:t>
            </w:r>
          </w:p>
        </w:tc>
        <w:tc>
          <w:tcPr>
            <w:tcW w:w="180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17"/>
        </w:rPr>
      </w:pPr>
    </w:p>
    <w:p>
      <w:pPr>
        <w:pStyle w:val="BodyText"/>
        <w:spacing w:line="321" w:lineRule="auto"/>
        <w:ind w:left="139" w:right="131" w:firstLine="288"/>
        <w:jc w:val="both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 de Contabilidad Gubernamental de la Subsecretaría de Egresos</w:t>
      </w:r>
      <w:r>
        <w:rPr>
          <w:spacing w:val="50"/>
        </w:rPr>
        <w:t> </w:t>
      </w:r>
      <w:r>
        <w:rPr/>
        <w:t>de la Secretaría de Hacienda 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</w:t>
      </w:r>
      <w:r>
        <w:rPr>
          <w:spacing w:val="1"/>
        </w:rPr>
        <w:t> </w:t>
      </w:r>
      <w:r>
        <w:rPr/>
        <w:t>Y CERTIFICO que el documento</w:t>
      </w:r>
      <w:r>
        <w:rPr>
          <w:spacing w:val="1"/>
        </w:rPr>
        <w:t> </w:t>
      </w:r>
      <w:r>
        <w:rPr/>
        <w:t>consistente en 1 foja útil, impresa por anverso y reverso,</w:t>
      </w:r>
      <w:r>
        <w:rPr>
          <w:spacing w:val="1"/>
        </w:rPr>
        <w:t> </w:t>
      </w:r>
      <w:r>
        <w:rPr/>
        <w:t>rubricada y cotejada, denominado Norma para establecer la estructura de los formatos de información de</w:t>
      </w:r>
      <w:r>
        <w:rPr>
          <w:spacing w:val="1"/>
        </w:rPr>
        <w:t> </w:t>
      </w:r>
      <w:r>
        <w:rPr/>
        <w:t>obligaciones pagadas o garantizadas con fondos federales, corresponde con el texto aprobado por el Consejo</w:t>
      </w:r>
      <w:r>
        <w:rPr>
          <w:spacing w:val="1"/>
        </w:rPr>
        <w:t> </w:t>
      </w:r>
      <w:r>
        <w:rPr/>
        <w:t>Nacional de Armonización Contable, mismo que estuvo a la vista de los integrantes de dicho Consejo en su</w:t>
      </w:r>
      <w:r>
        <w:rPr>
          <w:spacing w:val="1"/>
        </w:rPr>
        <w:t> </w:t>
      </w:r>
      <w:r>
        <w:rPr/>
        <w:t>primera reunión celebrada, en segunda convocatoria, este 27 de febrero del presente año, situación que se</w:t>
      </w:r>
      <w:r>
        <w:rPr>
          <w:spacing w:val="1"/>
        </w:rPr>
        <w:t> </w:t>
      </w:r>
      <w:r>
        <w:rPr/>
        <w:t>certifica para los efectos legales conducentes.- El Secretario Técnico del Consejo Nacional de Armonización</w:t>
      </w:r>
      <w:r>
        <w:rPr>
          <w:spacing w:val="1"/>
        </w:rPr>
        <w:t> </w:t>
      </w:r>
      <w:r>
        <w:rPr/>
        <w:t>Contable, </w:t>
      </w:r>
      <w:r>
        <w:rPr>
          <w:rFonts w:ascii="Arial" w:hAnsi="Arial"/>
          <w:b/>
        </w:rPr>
        <w:t>Juan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Manuel Alcocer Gamba</w:t>
      </w:r>
      <w:r>
        <w:rPr/>
        <w:t>.- Rúbrica.</w:t>
      </w:r>
    </w:p>
    <w:sectPr>
      <w:pgSz w:w="12240" w:h="15840"/>
      <w:pgMar w:top="1120" w:bottom="280" w:left="156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859" w:hanging="432"/>
        <w:jc w:val="left"/>
      </w:pPr>
      <w:rPr>
        <w:rFonts w:hint="default" w:ascii="Arial MT" w:hAnsi="Arial MT" w:eastAsia="Arial MT" w:cs="Arial MT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86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38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6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90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16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42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468" w:hanging="432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859" w:hanging="432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219" w:hanging="36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97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75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53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31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0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86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64" w:hanging="360"/>
      </w:pPr>
      <w:rPr>
        <w:rFonts w:hint="default"/>
        <w:lang w:val="es-ES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ind w:left="1219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64"/>
      <w:ind w:left="42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74"/>
      <w:ind w:left="1219" w:hanging="432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DOF</dc:creator>
  <dcterms:created xsi:type="dcterms:W3CDTF">2022-02-01T21:13:30Z</dcterms:created>
  <dcterms:modified xsi:type="dcterms:W3CDTF">2022-02-01T21:13:30Z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2022-02-01T00:00:00Z</vt:filetime>
  </property>
</Properties>
</file>