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2" w:after="19"/>
        <w:ind w:left="139" w:right="127"/>
      </w:pPr>
      <w:r>
        <w:rPr/>
        <w:t>ACUERDO por el que se determina la norma para establecer la estructura del formato de la relación de bienes que</w:t>
      </w:r>
      <w:r>
        <w:rPr>
          <w:spacing w:val="-42"/>
        </w:rPr>
        <w:t> </w:t>
      </w:r>
      <w:r>
        <w:rPr/>
        <w:t>componen</w:t>
      </w:r>
      <w:r>
        <w:rPr>
          <w:spacing w:val="-3"/>
        </w:rPr>
        <w:t> </w:t>
      </w:r>
      <w:r>
        <w:rPr/>
        <w:t>el</w:t>
      </w:r>
      <w:r>
        <w:rPr>
          <w:spacing w:val="3"/>
        </w:rPr>
        <w:t> </w:t>
      </w:r>
      <w:r>
        <w:rPr/>
        <w:t>patrimonio</w:t>
      </w:r>
      <w:r>
        <w:rPr>
          <w:spacing w:val="2"/>
        </w:rPr>
        <w:t> </w:t>
      </w:r>
      <w:r>
        <w:rPr/>
        <w:t>del ente</w:t>
      </w:r>
      <w:r>
        <w:rPr>
          <w:spacing w:val="-1"/>
        </w:rPr>
        <w:t> </w:t>
      </w:r>
      <w:r>
        <w:rPr/>
        <w:t>público.</w:t>
      </w:r>
    </w:p>
    <w:p>
      <w:pPr>
        <w:pStyle w:val="BodyText"/>
        <w:spacing w:line="28" w:lineRule="exact" w:before="0"/>
        <w:ind w:left="110" w:firstLine="0"/>
        <w:jc w:val="left"/>
        <w:rPr>
          <w:rFonts w:ascii="Times New Roman"/>
          <w:sz w:val="2"/>
        </w:rPr>
      </w:pPr>
      <w:r>
        <w:rPr>
          <w:rFonts w:ascii="Times New Roman"/>
          <w:position w:val="0"/>
          <w:sz w:val="2"/>
        </w:rPr>
        <w:pict>
          <v:group style="width:445.05pt;height:1.45pt;mso-position-horizontal-relative:char;mso-position-vertical-relative:line" coordorigin="0,0" coordsize="8901,29">
            <v:rect style="position:absolute;left:0;top:0;width:8901;height:29" filled="true" fillcolor="#000000" stroked="false">
              <v:fill type="solid"/>
            </v:rect>
          </v:group>
        </w:pict>
      </w:r>
      <w:r>
        <w:rPr>
          <w:rFonts w:ascii="Times New Roman"/>
          <w:position w:val="0"/>
          <w:sz w:val="2"/>
        </w:rPr>
      </w:r>
    </w:p>
    <w:p>
      <w:pPr>
        <w:pStyle w:val="BodyText"/>
        <w:spacing w:before="9"/>
        <w:ind w:left="0" w:firstLine="0"/>
        <w:jc w:val="left"/>
        <w:rPr>
          <w:rFonts w:ascii="Times New Roman"/>
          <w:b/>
          <w:sz w:val="19"/>
        </w:rPr>
      </w:pPr>
    </w:p>
    <w:p>
      <w:pPr>
        <w:pStyle w:val="BodyText"/>
        <w:spacing w:line="249" w:lineRule="auto" w:before="94"/>
        <w:ind w:right="131"/>
      </w:pPr>
      <w:r>
        <w:rPr/>
        <w:t>El Consejo Nacional de Armonización Contable con fundamento en los artículos 6, 7, 9, 23 último párrafo y</w:t>
      </w:r>
      <w:r>
        <w:rPr>
          <w:spacing w:val="-47"/>
        </w:rPr>
        <w:t> </w:t>
      </w:r>
      <w:r>
        <w:rPr/>
        <w:t>27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3"/>
        </w:rPr>
        <w:t> </w:t>
      </w:r>
      <w:r>
        <w:rPr/>
        <w:t>General de</w:t>
      </w:r>
      <w:r>
        <w:rPr>
          <w:spacing w:val="-2"/>
        </w:rPr>
        <w:t> </w:t>
      </w:r>
      <w:r>
        <w:rPr/>
        <w:t>Contabilidad Gubernamental,</w:t>
      </w:r>
      <w:r>
        <w:rPr>
          <w:spacing w:val="-3"/>
        </w:rPr>
        <w:t> </w:t>
      </w:r>
      <w:r>
        <w:rPr/>
        <w:t>aprobó el</w:t>
      </w:r>
      <w:r>
        <w:rPr>
          <w:spacing w:val="-2"/>
        </w:rPr>
        <w:t> </w:t>
      </w:r>
      <w:r>
        <w:rPr/>
        <w:t>siguiente:</w:t>
      </w:r>
    </w:p>
    <w:p>
      <w:pPr>
        <w:pStyle w:val="Heading1"/>
        <w:spacing w:line="249" w:lineRule="auto" w:before="108"/>
        <w:ind w:left="334" w:right="324" w:firstLine="64"/>
      </w:pPr>
      <w:r>
        <w:rPr/>
        <w:t>ACUERDO POR EL QUE SE DETERMINA LA NORMA PARA ESTABLECER LA ESTRUCTURA DEL</w:t>
      </w:r>
      <w:r>
        <w:rPr>
          <w:spacing w:val="1"/>
        </w:rPr>
        <w:t> </w:t>
      </w:r>
      <w:r>
        <w:rPr/>
        <w:t>FORMATO</w:t>
      </w:r>
      <w:r>
        <w:rPr>
          <w:spacing w:val="-2"/>
        </w:rPr>
        <w:t> </w:t>
      </w:r>
      <w:r>
        <w:rPr/>
        <w:t>DE LA</w:t>
      </w:r>
      <w:r>
        <w:rPr>
          <w:spacing w:val="-1"/>
        </w:rPr>
        <w:t> </w:t>
      </w:r>
      <w:r>
        <w:rPr/>
        <w:t>RELACIÓN DE BIENES</w:t>
      </w:r>
      <w:r>
        <w:rPr>
          <w:spacing w:val="-3"/>
        </w:rPr>
        <w:t> </w:t>
      </w:r>
      <w:r>
        <w:rPr/>
        <w:t>QUE COMPONEN</w:t>
      </w:r>
      <w:r>
        <w:rPr>
          <w:spacing w:val="-1"/>
        </w:rPr>
        <w:t> </w:t>
      </w:r>
      <w:r>
        <w:rPr/>
        <w:t>EL PATRIMONIO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ENTE PÚBLICO</w:t>
      </w:r>
    </w:p>
    <w:p>
      <w:pPr>
        <w:spacing w:before="99"/>
        <w:ind w:left="427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Objeto</w:t>
      </w:r>
    </w:p>
    <w:p>
      <w:pPr>
        <w:pStyle w:val="BodyText"/>
        <w:spacing w:line="249" w:lineRule="auto"/>
        <w:ind w:right="144"/>
      </w:pPr>
      <w:r>
        <w:rPr/>
        <w:t>Establecer la estructura del formato de la relación de bienes muebles e inmuebles del ente público que</w:t>
      </w:r>
      <w:r>
        <w:rPr>
          <w:spacing w:val="1"/>
        </w:rPr>
        <w:t> </w:t>
      </w:r>
      <w:r>
        <w:rPr/>
        <w:t>integran</w:t>
      </w:r>
      <w:r>
        <w:rPr>
          <w:spacing w:val="-1"/>
        </w:rPr>
        <w:t> </w:t>
      </w:r>
      <w:r>
        <w:rPr/>
        <w:t>en la</w:t>
      </w:r>
      <w:r>
        <w:rPr>
          <w:spacing w:val="-2"/>
        </w:rPr>
        <w:t> </w:t>
      </w:r>
      <w:r>
        <w:rPr/>
        <w:t>cuenta</w:t>
      </w:r>
      <w:r>
        <w:rPr>
          <w:spacing w:val="-3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conforme a</w:t>
      </w:r>
      <w:r>
        <w:rPr>
          <w:spacing w:val="-3"/>
        </w:rPr>
        <w:t> </w:t>
      </w:r>
      <w:r>
        <w:rPr/>
        <w:t>los</w:t>
      </w:r>
      <w:r>
        <w:rPr>
          <w:spacing w:val="1"/>
        </w:rPr>
        <w:t> </w:t>
      </w:r>
      <w:r>
        <w:rPr/>
        <w:t>formatos</w:t>
      </w:r>
      <w:r>
        <w:rPr>
          <w:spacing w:val="1"/>
        </w:rPr>
        <w:t> </w:t>
      </w:r>
      <w:r>
        <w:rPr/>
        <w:t>electrónicos.</w:t>
      </w:r>
    </w:p>
    <w:p>
      <w:pPr>
        <w:pStyle w:val="Heading1"/>
        <w:spacing w:before="102"/>
        <w:rPr>
          <w:rFonts w:ascii="Arial" w:hAnsi="Arial"/>
        </w:rPr>
      </w:pPr>
      <w:r>
        <w:rPr>
          <w:rFonts w:ascii="Arial" w:hAnsi="Arial"/>
        </w:rPr>
        <w:t>Ámbito</w:t>
      </w:r>
      <w:r>
        <w:rPr>
          <w:rFonts w:ascii="Arial" w:hAnsi="Arial"/>
          <w:spacing w:val="-3"/>
        </w:rPr>
        <w:t> </w:t>
      </w:r>
      <w:r>
        <w:rPr>
          <w:rFonts w:ascii="Arial" w:hAnsi="Arial"/>
        </w:rPr>
        <w:t>de</w:t>
      </w:r>
      <w:r>
        <w:rPr>
          <w:rFonts w:ascii="Arial" w:hAnsi="Arial"/>
          <w:spacing w:val="-2"/>
        </w:rPr>
        <w:t> </w:t>
      </w:r>
      <w:r>
        <w:rPr>
          <w:rFonts w:ascii="Arial" w:hAnsi="Arial"/>
        </w:rPr>
        <w:t>aplicación</w:t>
      </w:r>
    </w:p>
    <w:p>
      <w:pPr>
        <w:pStyle w:val="BodyText"/>
        <w:spacing w:line="249" w:lineRule="auto"/>
        <w:ind w:right="136"/>
      </w:pPr>
      <w:r>
        <w:rPr/>
        <w:t>Las presentes disposiciones serán de observancia obligatoria para los entes públicos: poderes Ejecutivo,</w:t>
      </w:r>
      <w:r>
        <w:rPr>
          <w:spacing w:val="1"/>
        </w:rPr>
        <w:t> </w:t>
      </w:r>
      <w:r>
        <w:rPr/>
        <w:t>Legislativo y Judicial de la Federación y de las entidades federativas; entes autónomos de la Federación y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federativas;</w:t>
      </w:r>
      <w:r>
        <w:rPr>
          <w:spacing w:val="1"/>
        </w:rPr>
        <w:t> </w:t>
      </w:r>
      <w:r>
        <w:rPr/>
        <w:t>ayuntamientos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municipios;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político-administrativos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demarcaciones territoriales del Distrito Federal; y las entidades de la administración pública paraestatal, ya</w:t>
      </w:r>
      <w:r>
        <w:rPr>
          <w:spacing w:val="1"/>
        </w:rPr>
        <w:t> </w:t>
      </w:r>
      <w:r>
        <w:rPr/>
        <w:t>sean</w:t>
      </w:r>
      <w:r>
        <w:rPr>
          <w:spacing w:val="-3"/>
        </w:rPr>
        <w:t> </w:t>
      </w:r>
      <w:r>
        <w:rPr/>
        <w:t>federales,</w:t>
      </w:r>
      <w:r>
        <w:rPr>
          <w:spacing w:val="-2"/>
        </w:rPr>
        <w:t> </w:t>
      </w:r>
      <w:r>
        <w:rPr/>
        <w:t>estatales</w:t>
      </w:r>
      <w:r>
        <w:rPr>
          <w:spacing w:val="-1"/>
        </w:rPr>
        <w:t> </w:t>
      </w:r>
      <w:r>
        <w:rPr/>
        <w:t>o municipales.</w:t>
      </w:r>
    </w:p>
    <w:p>
      <w:pPr>
        <w:pStyle w:val="Heading1"/>
        <w:spacing w:before="105"/>
        <w:rPr>
          <w:rFonts w:ascii="Arial"/>
        </w:rPr>
      </w:pPr>
      <w:r>
        <w:rPr>
          <w:rFonts w:ascii="Arial"/>
        </w:rPr>
        <w:t>Normas</w:t>
      </w:r>
    </w:p>
    <w:p>
      <w:pPr>
        <w:pStyle w:val="BodyText"/>
        <w:spacing w:line="249" w:lineRule="auto"/>
        <w:ind w:right="144"/>
      </w:pPr>
      <w:r>
        <w:rPr/>
        <w:t>De acuerdo al artículo 23, último párrafo de la Ley General de Contabilidad Gubernamental en la cuenta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incluirán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componen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patrimonio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50"/>
        </w:rPr>
        <w:t> </w:t>
      </w:r>
      <w:r>
        <w:rPr/>
        <w:t>formatos</w:t>
      </w:r>
      <w:r>
        <w:rPr>
          <w:spacing w:val="1"/>
        </w:rPr>
        <w:t> </w:t>
      </w:r>
      <w:r>
        <w:rPr/>
        <w:t>electrónicos que determine el Consejo, por lo cual podrá presentarse en formato de hoja de cálculo electrónica</w:t>
      </w:r>
      <w:r>
        <w:rPr>
          <w:spacing w:val="-48"/>
        </w:rPr>
        <w:t> </w:t>
      </w:r>
      <w:r>
        <w:rPr/>
        <w:t>(Excel</w:t>
      </w:r>
      <w:r>
        <w:rPr>
          <w:spacing w:val="-2"/>
        </w:rPr>
        <w:t> </w:t>
      </w:r>
      <w:r>
        <w:rPr/>
        <w:t>o</w:t>
      </w:r>
      <w:r>
        <w:rPr>
          <w:spacing w:val="-4"/>
        </w:rPr>
        <w:t> </w:t>
      </w:r>
      <w:r>
        <w:rPr/>
        <w:t>equivalente),</w:t>
      </w:r>
      <w:r>
        <w:rPr>
          <w:spacing w:val="-2"/>
        </w:rPr>
        <w:t> </w:t>
      </w:r>
      <w:r>
        <w:rPr/>
        <w:t>procesador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texto</w:t>
      </w:r>
      <w:r>
        <w:rPr>
          <w:spacing w:val="-2"/>
        </w:rPr>
        <w:t> </w:t>
      </w:r>
      <w:r>
        <w:rPr/>
        <w:t>(Word</w:t>
      </w:r>
      <w:r>
        <w:rPr>
          <w:spacing w:val="-1"/>
        </w:rPr>
        <w:t> </w:t>
      </w:r>
      <w:r>
        <w:rPr/>
        <w:t>o</w:t>
      </w:r>
      <w:r>
        <w:rPr>
          <w:spacing w:val="-4"/>
        </w:rPr>
        <w:t> </w:t>
      </w:r>
      <w:r>
        <w:rPr/>
        <w:t>equivalente)</w:t>
      </w:r>
      <w:r>
        <w:rPr>
          <w:spacing w:val="-2"/>
        </w:rPr>
        <w:t> </w:t>
      </w:r>
      <w:r>
        <w:rPr/>
        <w:t>o</w:t>
      </w:r>
      <w:r>
        <w:rPr>
          <w:spacing w:val="3"/>
        </w:rPr>
        <w:t> </w:t>
      </w:r>
      <w:r>
        <w:rPr/>
        <w:t>en</w:t>
      </w:r>
      <w:r>
        <w:rPr>
          <w:spacing w:val="-2"/>
        </w:rPr>
        <w:t> </w:t>
      </w:r>
      <w:r>
        <w:rPr/>
        <w:t>visor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imágenes</w:t>
      </w:r>
      <w:r>
        <w:rPr>
          <w:spacing w:val="-4"/>
        </w:rPr>
        <w:t> </w:t>
      </w:r>
      <w:r>
        <w:rPr/>
        <w:t>(PDF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equivalente).</w:t>
      </w:r>
    </w:p>
    <w:p>
      <w:pPr>
        <w:pStyle w:val="Heading1"/>
        <w:spacing w:before="116"/>
        <w:rPr>
          <w:rFonts w:ascii="Arial"/>
        </w:rPr>
      </w:pPr>
      <w:r>
        <w:rPr>
          <w:rFonts w:ascii="Arial"/>
        </w:rPr>
        <w:t>Precisiones</w:t>
      </w:r>
      <w:r>
        <w:rPr>
          <w:rFonts w:ascii="Arial"/>
          <w:spacing w:val="-2"/>
        </w:rPr>
        <w:t> </w:t>
      </w:r>
      <w:r>
        <w:rPr>
          <w:rFonts w:ascii="Arial"/>
        </w:rPr>
        <w:t>al</w:t>
      </w:r>
      <w:r>
        <w:rPr>
          <w:rFonts w:ascii="Arial"/>
          <w:spacing w:val="-1"/>
        </w:rPr>
        <w:t> </w:t>
      </w:r>
      <w:r>
        <w:rPr>
          <w:rFonts w:ascii="Arial"/>
        </w:rPr>
        <w:t>formato</w:t>
      </w:r>
    </w:p>
    <w:p>
      <w:pPr>
        <w:pStyle w:val="BodyText"/>
        <w:spacing w:line="268" w:lineRule="auto" w:before="124"/>
        <w:ind w:right="8"/>
        <w:jc w:val="left"/>
      </w:pPr>
      <w:r>
        <w:rPr/>
        <w:t>El</w:t>
      </w:r>
      <w:r>
        <w:rPr>
          <w:spacing w:val="3"/>
        </w:rPr>
        <w:t> </w:t>
      </w:r>
      <w:r>
        <w:rPr/>
        <w:t>Formato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integración</w:t>
      </w:r>
      <w:r>
        <w:rPr>
          <w:spacing w:val="1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  <w:r>
        <w:rPr>
          <w:spacing w:val="4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muebles</w:t>
      </w:r>
      <w:r>
        <w:rPr>
          <w:spacing w:val="1"/>
        </w:rPr>
        <w:t> </w:t>
      </w:r>
      <w:r>
        <w:rPr/>
        <w:t>e</w:t>
      </w:r>
      <w:r>
        <w:rPr>
          <w:spacing w:val="3"/>
        </w:rPr>
        <w:t> </w:t>
      </w:r>
      <w:r>
        <w:rPr/>
        <w:t>inmuebles</w:t>
      </w:r>
      <w:r>
        <w:rPr>
          <w:spacing w:val="2"/>
        </w:rPr>
        <w:t> </w:t>
      </w:r>
      <w:r>
        <w:rPr/>
        <w:t>del</w:t>
      </w:r>
      <w:r>
        <w:rPr>
          <w:spacing w:val="1"/>
        </w:rPr>
        <w:t> </w:t>
      </w:r>
      <w:r>
        <w:rPr/>
        <w:t>ente</w:t>
      </w:r>
      <w:r>
        <w:rPr>
          <w:spacing w:val="3"/>
        </w:rPr>
        <w:t> </w:t>
      </w:r>
      <w:r>
        <w:rPr/>
        <w:t>público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integran</w:t>
      </w:r>
      <w:r>
        <w:rPr>
          <w:spacing w:val="-47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cuenta</w:t>
      </w:r>
      <w:r>
        <w:rPr>
          <w:spacing w:val="-2"/>
        </w:rPr>
        <w:t> </w:t>
      </w:r>
      <w:r>
        <w:rPr/>
        <w:t>pública está</w:t>
      </w:r>
      <w:r>
        <w:rPr>
          <w:spacing w:val="-2"/>
        </w:rPr>
        <w:t> </w:t>
      </w:r>
      <w:r>
        <w:rPr/>
        <w:t>conformado</w:t>
      </w:r>
      <w:r>
        <w:rPr>
          <w:spacing w:val="-1"/>
        </w:rPr>
        <w:t> </w:t>
      </w:r>
      <w:r>
        <w:rPr/>
        <w:t>principalmente por: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66" w:lineRule="auto" w:before="100" w:after="0"/>
        <w:ind w:left="859" w:right="133" w:hanging="432"/>
        <w:jc w:val="left"/>
        <w:rPr>
          <w:sz w:val="18"/>
        </w:rPr>
      </w:pPr>
      <w:r>
        <w:rPr>
          <w:sz w:val="18"/>
        </w:rPr>
        <w:t>Código:</w:t>
      </w:r>
      <w:r>
        <w:rPr>
          <w:spacing w:val="34"/>
          <w:sz w:val="18"/>
        </w:rPr>
        <w:t> </w:t>
      </w:r>
      <w:r>
        <w:rPr>
          <w:sz w:val="18"/>
        </w:rPr>
        <w:t>número</w:t>
      </w:r>
      <w:r>
        <w:rPr>
          <w:spacing w:val="37"/>
          <w:sz w:val="18"/>
        </w:rPr>
        <w:t> </w:t>
      </w:r>
      <w:r>
        <w:rPr>
          <w:sz w:val="18"/>
        </w:rPr>
        <w:t>de</w:t>
      </w:r>
      <w:r>
        <w:rPr>
          <w:spacing w:val="34"/>
          <w:sz w:val="18"/>
        </w:rPr>
        <w:t> </w:t>
      </w:r>
      <w:r>
        <w:rPr>
          <w:sz w:val="18"/>
        </w:rPr>
        <w:t>identificación</w:t>
      </w:r>
      <w:r>
        <w:rPr>
          <w:spacing w:val="35"/>
          <w:sz w:val="18"/>
        </w:rPr>
        <w:t> </w:t>
      </w:r>
      <w:r>
        <w:rPr>
          <w:sz w:val="18"/>
        </w:rPr>
        <w:t>o</w:t>
      </w:r>
      <w:r>
        <w:rPr>
          <w:spacing w:val="37"/>
          <w:sz w:val="18"/>
        </w:rPr>
        <w:t> </w:t>
      </w:r>
      <w:r>
        <w:rPr>
          <w:sz w:val="18"/>
        </w:rPr>
        <w:t>inventario</w:t>
      </w:r>
      <w:r>
        <w:rPr>
          <w:spacing w:val="37"/>
          <w:sz w:val="18"/>
        </w:rPr>
        <w:t> </w:t>
      </w:r>
      <w:r>
        <w:rPr>
          <w:sz w:val="18"/>
        </w:rPr>
        <w:t>de</w:t>
      </w:r>
      <w:r>
        <w:rPr>
          <w:spacing w:val="37"/>
          <w:sz w:val="18"/>
        </w:rPr>
        <w:t> </w:t>
      </w:r>
      <w:r>
        <w:rPr>
          <w:sz w:val="18"/>
        </w:rPr>
        <w:t>acuerdo</w:t>
      </w:r>
      <w:r>
        <w:rPr>
          <w:spacing w:val="35"/>
          <w:sz w:val="18"/>
        </w:rPr>
        <w:t> </w:t>
      </w:r>
      <w:r>
        <w:rPr>
          <w:sz w:val="18"/>
        </w:rPr>
        <w:t>a</w:t>
      </w:r>
      <w:r>
        <w:rPr>
          <w:spacing w:val="42"/>
          <w:sz w:val="18"/>
        </w:rPr>
        <w:t> </w:t>
      </w:r>
      <w:r>
        <w:rPr>
          <w:sz w:val="18"/>
        </w:rPr>
        <w:t>la</w:t>
      </w:r>
      <w:r>
        <w:rPr>
          <w:spacing w:val="37"/>
          <w:sz w:val="18"/>
        </w:rPr>
        <w:t> </w:t>
      </w:r>
      <w:r>
        <w:rPr>
          <w:sz w:val="18"/>
        </w:rPr>
        <w:t>normatividad</w:t>
      </w:r>
      <w:r>
        <w:rPr>
          <w:spacing w:val="37"/>
          <w:sz w:val="18"/>
        </w:rPr>
        <w:t> </w:t>
      </w:r>
      <w:r>
        <w:rPr>
          <w:sz w:val="18"/>
        </w:rPr>
        <w:t>aplicable</w:t>
      </w:r>
      <w:r>
        <w:rPr>
          <w:spacing w:val="34"/>
          <w:sz w:val="18"/>
        </w:rPr>
        <w:t> </w:t>
      </w:r>
      <w:r>
        <w:rPr>
          <w:sz w:val="18"/>
        </w:rPr>
        <w:t>en</w:t>
      </w:r>
      <w:r>
        <w:rPr>
          <w:spacing w:val="38"/>
          <w:sz w:val="18"/>
        </w:rPr>
        <w:t> </w:t>
      </w:r>
      <w:r>
        <w:rPr>
          <w:sz w:val="18"/>
        </w:rPr>
        <w:t>el</w:t>
      </w:r>
      <w:r>
        <w:rPr>
          <w:spacing w:val="42"/>
          <w:sz w:val="18"/>
        </w:rPr>
        <w:t> </w:t>
      </w:r>
      <w:r>
        <w:rPr>
          <w:sz w:val="18"/>
        </w:rPr>
        <w:t>ente</w:t>
      </w:r>
      <w:r>
        <w:rPr>
          <w:spacing w:val="-47"/>
          <w:sz w:val="18"/>
        </w:rPr>
        <w:t> </w:t>
      </w:r>
      <w:r>
        <w:rPr>
          <w:sz w:val="18"/>
        </w:rPr>
        <w:t>público.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0" w:lineRule="auto" w:before="105" w:after="0"/>
        <w:ind w:left="859" w:right="0" w:hanging="433"/>
        <w:jc w:val="left"/>
        <w:rPr>
          <w:sz w:val="18"/>
        </w:rPr>
      </w:pPr>
      <w:r>
        <w:rPr>
          <w:sz w:val="18"/>
        </w:rPr>
        <w:t>Descripción</w:t>
      </w:r>
      <w:r>
        <w:rPr>
          <w:spacing w:val="-5"/>
          <w:sz w:val="18"/>
        </w:rPr>
        <w:t> </w:t>
      </w:r>
      <w:r>
        <w:rPr>
          <w:sz w:val="18"/>
        </w:rPr>
        <w:t>del</w:t>
      </w:r>
      <w:r>
        <w:rPr>
          <w:spacing w:val="-5"/>
          <w:sz w:val="18"/>
        </w:rPr>
        <w:t> </w:t>
      </w:r>
      <w:r>
        <w:rPr>
          <w:sz w:val="18"/>
        </w:rPr>
        <w:t>bien:</w:t>
      </w:r>
      <w:r>
        <w:rPr>
          <w:spacing w:val="-2"/>
          <w:sz w:val="18"/>
        </w:rPr>
        <w:t> </w:t>
      </w:r>
      <w:r>
        <w:rPr>
          <w:sz w:val="18"/>
        </w:rPr>
        <w:t>descripción</w:t>
      </w:r>
      <w:r>
        <w:rPr>
          <w:spacing w:val="-3"/>
          <w:sz w:val="18"/>
        </w:rPr>
        <w:t> </w:t>
      </w:r>
      <w:r>
        <w:rPr>
          <w:sz w:val="18"/>
        </w:rPr>
        <w:t>general</w:t>
      </w:r>
      <w:r>
        <w:rPr>
          <w:spacing w:val="-3"/>
          <w:sz w:val="18"/>
        </w:rPr>
        <w:t> </w:t>
      </w:r>
      <w:r>
        <w:rPr>
          <w:sz w:val="18"/>
        </w:rPr>
        <w:t>del</w:t>
      </w:r>
      <w:r>
        <w:rPr>
          <w:spacing w:val="-2"/>
          <w:sz w:val="18"/>
        </w:rPr>
        <w:t> </w:t>
      </w:r>
      <w:r>
        <w:rPr>
          <w:sz w:val="18"/>
        </w:rPr>
        <w:t>bien.</w:t>
      </w:r>
    </w:p>
    <w:p>
      <w:pPr>
        <w:pStyle w:val="ListParagraph"/>
        <w:numPr>
          <w:ilvl w:val="0"/>
          <w:numId w:val="1"/>
        </w:numPr>
        <w:tabs>
          <w:tab w:pos="859" w:val="left" w:leader="none"/>
          <w:tab w:pos="860" w:val="left" w:leader="none"/>
        </w:tabs>
        <w:spacing w:line="240" w:lineRule="auto" w:before="124" w:after="0"/>
        <w:ind w:left="859" w:right="0" w:hanging="433"/>
        <w:jc w:val="left"/>
        <w:rPr>
          <w:sz w:val="18"/>
        </w:rPr>
      </w:pPr>
      <w:r>
        <w:rPr>
          <w:sz w:val="18"/>
        </w:rPr>
        <w:t>Valor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libros:</w:t>
      </w:r>
      <w:r>
        <w:rPr>
          <w:spacing w:val="-2"/>
          <w:sz w:val="18"/>
        </w:rPr>
        <w:t> </w:t>
      </w:r>
      <w:r>
        <w:rPr>
          <w:sz w:val="18"/>
        </w:rPr>
        <w:t>Importe</w:t>
      </w:r>
      <w:r>
        <w:rPr>
          <w:spacing w:val="-2"/>
          <w:sz w:val="18"/>
        </w:rPr>
        <w:t> </w:t>
      </w:r>
      <w:r>
        <w:rPr>
          <w:sz w:val="18"/>
        </w:rPr>
        <w:t>registrado</w:t>
      </w:r>
      <w:r>
        <w:rPr>
          <w:spacing w:val="-2"/>
          <w:sz w:val="18"/>
        </w:rPr>
        <w:t> </w:t>
      </w:r>
      <w:r>
        <w:rPr>
          <w:sz w:val="18"/>
        </w:rPr>
        <w:t>en</w:t>
      </w:r>
      <w:r>
        <w:rPr>
          <w:spacing w:val="-2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contabilidad</w:t>
      </w:r>
    </w:p>
    <w:p>
      <w:pPr>
        <w:pStyle w:val="BodyText"/>
        <w:spacing w:line="268" w:lineRule="auto" w:before="125"/>
        <w:ind w:right="135"/>
      </w:pPr>
      <w:r>
        <w:rPr/>
        <w:t>Dicha información se podrá extraerse del libro inventarios de bienes muebles e inmuebles a que se hace</w:t>
      </w:r>
      <w:r>
        <w:rPr>
          <w:spacing w:val="1"/>
        </w:rPr>
        <w:t> </w:t>
      </w:r>
      <w:r>
        <w:rPr/>
        <w:t>referencia en el apartado C.3) de los Lineamientos mínimos relativos al diseño e integración del registro en los</w:t>
      </w:r>
      <w:r>
        <w:rPr>
          <w:spacing w:val="-47"/>
        </w:rPr>
        <w:t> </w:t>
      </w:r>
      <w:r>
        <w:rPr/>
        <w:t>Libros Diario, Mayor e Inventarios y Balances (Registro Electrónico) publicados en el Diario Oficial de la</w:t>
      </w:r>
      <w:r>
        <w:rPr>
          <w:spacing w:val="1"/>
        </w:rPr>
        <w:t> </w:t>
      </w:r>
      <w:r>
        <w:rPr/>
        <w:t>Federación</w:t>
      </w:r>
      <w:r>
        <w:rPr>
          <w:spacing w:val="-1"/>
        </w:rPr>
        <w:t> </w:t>
      </w:r>
      <w:r>
        <w:rPr/>
        <w:t>el 7 de julio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2011.</w:t>
      </w:r>
    </w:p>
    <w:p>
      <w:pPr>
        <w:pStyle w:val="BodyText"/>
        <w:spacing w:line="268" w:lineRule="auto" w:before="97"/>
        <w:ind w:right="146"/>
      </w:pPr>
      <w:r>
        <w:rPr/>
        <w:t>Para la estructura de la relación de bienes que componen el patrimonio del ente público y su presentación,</w:t>
      </w:r>
      <w:r>
        <w:rPr>
          <w:spacing w:val="-47"/>
        </w:rPr>
        <w:t> </w:t>
      </w:r>
      <w:r>
        <w:rPr/>
        <w:t>los</w:t>
      </w:r>
      <w:r>
        <w:rPr>
          <w:spacing w:val="-2"/>
        </w:rPr>
        <w:t> </w:t>
      </w:r>
      <w:r>
        <w:rPr/>
        <w:t>entes públicos obligados deberán</w:t>
      </w:r>
      <w:r>
        <w:rPr>
          <w:spacing w:val="-3"/>
        </w:rPr>
        <w:t> </w:t>
      </w:r>
      <w:r>
        <w:rPr/>
        <w:t>observar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mínimo</w:t>
      </w:r>
      <w:r>
        <w:rPr>
          <w:spacing w:val="-3"/>
        </w:rPr>
        <w:t> </w:t>
      </w:r>
      <w:r>
        <w:rPr/>
        <w:t>el</w:t>
      </w:r>
      <w:r>
        <w:rPr>
          <w:spacing w:val="-1"/>
        </w:rPr>
        <w:t> </w:t>
      </w:r>
      <w:r>
        <w:rPr/>
        <w:t>modelo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formato</w:t>
      </w:r>
      <w:r>
        <w:rPr>
          <w:spacing w:val="-1"/>
        </w:rPr>
        <w:t> </w:t>
      </w:r>
      <w:r>
        <w:rPr/>
        <w:t>siguiente:</w:t>
      </w:r>
    </w:p>
    <w:p>
      <w:pPr>
        <w:pStyle w:val="BodyText"/>
        <w:spacing w:before="4"/>
        <w:ind w:left="0" w:firstLine="0"/>
        <w:jc w:val="left"/>
        <w:rPr>
          <w:sz w:val="7"/>
        </w:rPr>
      </w:pPr>
    </w:p>
    <w:tbl>
      <w:tblPr>
        <w:tblW w:w="0" w:type="auto"/>
        <w:jc w:val="left"/>
        <w:tblInd w:w="62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7"/>
        <w:gridCol w:w="3343"/>
        <w:gridCol w:w="2671"/>
      </w:tblGrid>
      <w:tr>
        <w:trPr>
          <w:trHeight w:val="995" w:hRule="atLeast"/>
        </w:trPr>
        <w:tc>
          <w:tcPr>
            <w:tcW w:w="7891" w:type="dxa"/>
            <w:gridSpan w:val="3"/>
          </w:tcPr>
          <w:p>
            <w:pPr>
              <w:pStyle w:val="TableParagraph"/>
              <w:spacing w:before="15"/>
              <w:ind w:left="3420" w:right="3406"/>
              <w:jc w:val="center"/>
              <w:rPr>
                <w:sz w:val="18"/>
              </w:rPr>
            </w:pPr>
            <w:r>
              <w:rPr>
                <w:sz w:val="18"/>
              </w:rPr>
              <w:t>Ente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Público</w:t>
            </w:r>
          </w:p>
          <w:p>
            <w:pPr>
              <w:pStyle w:val="TableParagraph"/>
              <w:spacing w:line="330" w:lineRule="atLeast" w:before="4"/>
              <w:ind w:left="1994" w:right="1978"/>
              <w:jc w:val="center"/>
              <w:rPr>
                <w:sz w:val="18"/>
              </w:rPr>
            </w:pPr>
            <w:r>
              <w:rPr>
                <w:sz w:val="18"/>
              </w:rPr>
              <w:t>Relación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bienes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que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componen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su</w:t>
            </w:r>
            <w:r>
              <w:rPr>
                <w:spacing w:val="-3"/>
                <w:sz w:val="18"/>
              </w:rPr>
              <w:t> </w:t>
            </w:r>
            <w:r>
              <w:rPr>
                <w:sz w:val="18"/>
              </w:rPr>
              <w:t>patrimonio</w:t>
            </w:r>
            <w:r>
              <w:rPr>
                <w:spacing w:val="-48"/>
                <w:sz w:val="18"/>
              </w:rPr>
              <w:t> </w:t>
            </w:r>
            <w:r>
              <w:rPr>
                <w:sz w:val="18"/>
              </w:rPr>
              <w:t>Cuenta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Pública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 XXXX</w:t>
            </w:r>
          </w:p>
        </w:tc>
      </w:tr>
      <w:tr>
        <w:trPr>
          <w:trHeight w:val="333" w:hRule="atLeast"/>
        </w:trPr>
        <w:tc>
          <w:tcPr>
            <w:tcW w:w="1877" w:type="dxa"/>
          </w:tcPr>
          <w:p>
            <w:pPr>
              <w:pStyle w:val="TableParagraph"/>
              <w:spacing w:before="15"/>
              <w:ind w:left="633" w:right="618"/>
              <w:jc w:val="center"/>
              <w:rPr>
                <w:sz w:val="18"/>
              </w:rPr>
            </w:pPr>
            <w:r>
              <w:rPr>
                <w:sz w:val="18"/>
              </w:rPr>
              <w:t>Código</w:t>
            </w:r>
          </w:p>
        </w:tc>
        <w:tc>
          <w:tcPr>
            <w:tcW w:w="3343" w:type="dxa"/>
          </w:tcPr>
          <w:p>
            <w:pPr>
              <w:pStyle w:val="TableParagraph"/>
              <w:spacing w:before="15"/>
              <w:ind w:left="849"/>
              <w:rPr>
                <w:sz w:val="18"/>
              </w:rPr>
            </w:pPr>
            <w:r>
              <w:rPr>
                <w:sz w:val="18"/>
              </w:rPr>
              <w:t>Descripción</w:t>
            </w:r>
            <w:r>
              <w:rPr>
                <w:spacing w:val="-4"/>
                <w:sz w:val="18"/>
              </w:rPr>
              <w:t> </w:t>
            </w:r>
            <w:r>
              <w:rPr>
                <w:sz w:val="18"/>
              </w:rPr>
              <w:t>del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Bien</w:t>
            </w:r>
          </w:p>
        </w:tc>
        <w:tc>
          <w:tcPr>
            <w:tcW w:w="2671" w:type="dxa"/>
          </w:tcPr>
          <w:p>
            <w:pPr>
              <w:pStyle w:val="TableParagraph"/>
              <w:spacing w:before="15"/>
              <w:ind w:left="759"/>
              <w:rPr>
                <w:sz w:val="18"/>
              </w:rPr>
            </w:pPr>
            <w:r>
              <w:rPr>
                <w:sz w:val="18"/>
              </w:rPr>
              <w:t>Valor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en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libros</w:t>
            </w:r>
          </w:p>
        </w:tc>
      </w:tr>
      <w:tr>
        <w:trPr>
          <w:trHeight w:val="330" w:hRule="atLeast"/>
        </w:trPr>
        <w:tc>
          <w:tcPr>
            <w:tcW w:w="18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33" w:hRule="atLeast"/>
        </w:trPr>
        <w:tc>
          <w:tcPr>
            <w:tcW w:w="18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33" w:hRule="atLeast"/>
        </w:trPr>
        <w:tc>
          <w:tcPr>
            <w:tcW w:w="187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3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after="0"/>
        <w:rPr>
          <w:rFonts w:ascii="Times New Roman"/>
          <w:sz w:val="18"/>
        </w:rPr>
        <w:sectPr>
          <w:type w:val="continuous"/>
          <w:pgSz w:w="12240" w:h="15840"/>
          <w:pgMar w:top="1200" w:bottom="280" w:left="1560" w:right="1560"/>
        </w:sectPr>
      </w:pPr>
    </w:p>
    <w:p>
      <w:pPr>
        <w:pStyle w:val="Heading1"/>
        <w:ind w:left="3849" w:right="3850"/>
        <w:jc w:val="center"/>
      </w:pPr>
      <w:r>
        <w:rPr/>
        <w:t>TRANSITORIOS</w:t>
      </w:r>
    </w:p>
    <w:p>
      <w:pPr>
        <w:pStyle w:val="BodyText"/>
        <w:spacing w:line="271" w:lineRule="auto" w:before="124"/>
        <w:ind w:right="145"/>
      </w:pPr>
      <w:r>
        <w:rPr/>
        <w:t>PRIMERO.- La presente Norma entrará en vigor al día siguiente al de su publicación en el Diario Oficial de</w:t>
      </w:r>
      <w:r>
        <w:rPr>
          <w:spacing w:val="-47"/>
        </w:rPr>
        <w:t> </w:t>
      </w:r>
      <w:r>
        <w:rPr/>
        <w:t>la</w:t>
      </w:r>
      <w:r>
        <w:rPr>
          <w:spacing w:val="-1"/>
        </w:rPr>
        <w:t> </w:t>
      </w:r>
      <w:r>
        <w:rPr/>
        <w:t>Federación.</w:t>
      </w:r>
    </w:p>
    <w:p>
      <w:pPr>
        <w:pStyle w:val="BodyText"/>
        <w:spacing w:line="268" w:lineRule="auto" w:before="96"/>
        <w:ind w:right="135"/>
      </w:pPr>
      <w:r>
        <w:rPr/>
        <w:t>SEGUNDO.- En cumplimiento a lo dispuesto por el artículo 7, segundo párrafo de la Ley General de</w:t>
      </w:r>
      <w:r>
        <w:rPr>
          <w:spacing w:val="1"/>
        </w:rPr>
        <w:t> </w:t>
      </w:r>
      <w:r>
        <w:rPr/>
        <w:t>Contabilidad Gubernamental, la presente Norma deberá ser publicada en los medios oficiales de difusión</w:t>
      </w:r>
      <w:r>
        <w:rPr>
          <w:spacing w:val="1"/>
        </w:rPr>
        <w:t> </w:t>
      </w:r>
      <w:r>
        <w:rPr/>
        <w:t>escritos y electrónicos de las entidades federativas, municipios y demarcaciones territoriales del</w:t>
      </w:r>
      <w:r>
        <w:rPr>
          <w:spacing w:val="1"/>
        </w:rPr>
        <w:t> </w:t>
      </w:r>
      <w:r>
        <w:rPr/>
        <w:t>Distrito</w:t>
      </w:r>
      <w:r>
        <w:rPr>
          <w:spacing w:val="1"/>
        </w:rPr>
        <w:t> </w:t>
      </w:r>
      <w:r>
        <w:rPr/>
        <w:t>Federal.</w:t>
      </w:r>
    </w:p>
    <w:p>
      <w:pPr>
        <w:pStyle w:val="BodyText"/>
        <w:spacing w:line="268" w:lineRule="auto" w:before="98"/>
        <w:ind w:right="135"/>
      </w:pPr>
      <w:r>
        <w:rPr/>
        <w:t>TERCERO.- En términos de los artículos 7 y 15 de la Ley General de Contabilidad Gubernamental, el</w:t>
      </w:r>
      <w:r>
        <w:rPr>
          <w:spacing w:val="1"/>
        </w:rPr>
        <w:t> </w:t>
      </w:r>
      <w:r>
        <w:rPr/>
        <w:t>Secretario Técnico llevará un registro público en una página de Internet de los actos que los gobiernos de las</w:t>
      </w:r>
      <w:r>
        <w:rPr>
          <w:spacing w:val="1"/>
        </w:rPr>
        <w:t> </w:t>
      </w:r>
      <w:r>
        <w:rPr/>
        <w:t>entidades federativas, municipios y demarcaciones territoriales del Distrito Federal realicen para la adopción e</w:t>
      </w:r>
      <w:r>
        <w:rPr>
          <w:spacing w:val="1"/>
        </w:rPr>
        <w:t> </w:t>
      </w:r>
      <w:r>
        <w:rPr/>
        <w:t>implementación de la presente Norma. Para tales efectos, los gobiernos de las entidades federativas, los</w:t>
      </w:r>
      <w:r>
        <w:rPr>
          <w:spacing w:val="1"/>
        </w:rPr>
        <w:t> </w:t>
      </w:r>
      <w:r>
        <w:rPr/>
        <w:t>municipios y las demarcaciones territoriales del Distrito Federal remitirán al Secretario Técnico la información</w:t>
      </w:r>
      <w:r>
        <w:rPr>
          <w:spacing w:val="1"/>
        </w:rPr>
        <w:t> </w:t>
      </w:r>
      <w:r>
        <w:rPr/>
        <w:t>relacionada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actos.</w:t>
      </w:r>
      <w:r>
        <w:rPr>
          <w:spacing w:val="1"/>
        </w:rPr>
        <w:t> </w:t>
      </w:r>
      <w:r>
        <w:rPr/>
        <w:t>Dicha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enviada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hyperlink r:id="rId5">
        <w:r>
          <w:rPr/>
          <w:t>conac_sriotecnico@hacienda.gob.mx, </w:t>
        </w:r>
      </w:hyperlink>
      <w:r>
        <w:rPr/>
        <w:t>dentro de un plazo de 15 días hábiles contados a partir de la conclusión</w:t>
      </w:r>
      <w:r>
        <w:rPr>
          <w:spacing w:val="-47"/>
        </w:rPr>
        <w:t> </w:t>
      </w:r>
      <w:r>
        <w:rPr/>
        <w:t>del plazo fijado por el CONAC. Los municipios sujetos del presente lineamiento podrán enviar la información</w:t>
      </w:r>
      <w:r>
        <w:rPr>
          <w:spacing w:val="1"/>
        </w:rPr>
        <w:t> </w:t>
      </w:r>
      <w:r>
        <w:rPr/>
        <w:t>antes referida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correo ordinario.</w:t>
      </w:r>
    </w:p>
    <w:p>
      <w:pPr>
        <w:pStyle w:val="BodyText"/>
        <w:spacing w:line="268" w:lineRule="auto" w:before="93"/>
        <w:ind w:right="133"/>
      </w:pPr>
      <w:r>
        <w:rPr/>
        <w:t>En</w:t>
      </w:r>
      <w:r>
        <w:rPr>
          <w:spacing w:val="10"/>
        </w:rPr>
        <w:t> </w:t>
      </w:r>
      <w:r>
        <w:rPr/>
        <w:t>la</w:t>
      </w:r>
      <w:r>
        <w:rPr>
          <w:spacing w:val="9"/>
        </w:rPr>
        <w:t> </w:t>
      </w:r>
      <w:r>
        <w:rPr/>
        <w:t>Ciudad</w:t>
      </w:r>
      <w:r>
        <w:rPr>
          <w:spacing w:val="8"/>
        </w:rPr>
        <w:t> </w:t>
      </w:r>
      <w:r>
        <w:rPr/>
        <w:t>de</w:t>
      </w:r>
      <w:r>
        <w:rPr>
          <w:spacing w:val="11"/>
        </w:rPr>
        <w:t> </w:t>
      </w:r>
      <w:r>
        <w:rPr/>
        <w:t>México,</w:t>
      </w:r>
      <w:r>
        <w:rPr>
          <w:spacing w:val="10"/>
        </w:rPr>
        <w:t> </w:t>
      </w:r>
      <w:r>
        <w:rPr/>
        <w:t>siendo</w:t>
      </w:r>
      <w:r>
        <w:rPr>
          <w:spacing w:val="11"/>
        </w:rPr>
        <w:t> </w:t>
      </w:r>
      <w:r>
        <w:rPr/>
        <w:t>las</w:t>
      </w:r>
      <w:r>
        <w:rPr>
          <w:spacing w:val="9"/>
        </w:rPr>
        <w:t> </w:t>
      </w:r>
      <w:r>
        <w:rPr/>
        <w:t>trece</w:t>
      </w:r>
      <w:r>
        <w:rPr>
          <w:spacing w:val="10"/>
        </w:rPr>
        <w:t> </w:t>
      </w:r>
      <w:r>
        <w:rPr/>
        <w:t>horas</w:t>
      </w:r>
      <w:r>
        <w:rPr>
          <w:spacing w:val="10"/>
        </w:rPr>
        <w:t> </w:t>
      </w:r>
      <w:r>
        <w:rPr/>
        <w:t>del</w:t>
      </w:r>
      <w:r>
        <w:rPr>
          <w:spacing w:val="11"/>
        </w:rPr>
        <w:t> </w:t>
      </w:r>
      <w:r>
        <w:rPr/>
        <w:t>día</w:t>
      </w:r>
      <w:r>
        <w:rPr>
          <w:spacing w:val="9"/>
        </w:rPr>
        <w:t> </w:t>
      </w:r>
      <w:r>
        <w:rPr/>
        <w:t>19</w:t>
      </w:r>
      <w:r>
        <w:rPr>
          <w:spacing w:val="8"/>
        </w:rPr>
        <w:t> </w:t>
      </w:r>
      <w:r>
        <w:rPr/>
        <w:t>de</w:t>
      </w:r>
      <w:r>
        <w:rPr>
          <w:spacing w:val="11"/>
        </w:rPr>
        <w:t> </w:t>
      </w:r>
      <w:r>
        <w:rPr/>
        <w:t>julio</w:t>
      </w:r>
      <w:r>
        <w:rPr>
          <w:spacing w:val="10"/>
        </w:rPr>
        <w:t> </w:t>
      </w:r>
      <w:r>
        <w:rPr/>
        <w:t>del</w:t>
      </w:r>
      <w:r>
        <w:rPr>
          <w:spacing w:val="9"/>
        </w:rPr>
        <w:t> </w:t>
      </w:r>
      <w:r>
        <w:rPr/>
        <w:t>año</w:t>
      </w:r>
      <w:r>
        <w:rPr>
          <w:spacing w:val="9"/>
        </w:rPr>
        <w:t> </w:t>
      </w:r>
      <w:r>
        <w:rPr/>
        <w:t>dos</w:t>
      </w:r>
      <w:r>
        <w:rPr>
          <w:spacing w:val="11"/>
        </w:rPr>
        <w:t> </w:t>
      </w:r>
      <w:r>
        <w:rPr/>
        <w:t>mil</w:t>
      </w:r>
      <w:r>
        <w:rPr>
          <w:spacing w:val="9"/>
        </w:rPr>
        <w:t> </w:t>
      </w:r>
      <w:r>
        <w:rPr/>
        <w:t>trece,</w:t>
      </w:r>
      <w:r>
        <w:rPr>
          <w:spacing w:val="8"/>
        </w:rPr>
        <w:t> </w:t>
      </w:r>
      <w:r>
        <w:rPr/>
        <w:t>con</w:t>
      </w:r>
      <w:r>
        <w:rPr>
          <w:spacing w:val="9"/>
        </w:rPr>
        <w:t> </w:t>
      </w:r>
      <w:r>
        <w:rPr/>
        <w:t>fundamento</w:t>
      </w:r>
      <w:r>
        <w:rPr>
          <w:spacing w:val="-48"/>
        </w:rPr>
        <w:t> </w:t>
      </w:r>
      <w:r>
        <w:rPr/>
        <w:t>en los artículos 11 de la Ley General de Contabilidad Gubernamental, 12, fracción IV, y 64 del Reglamento</w:t>
      </w:r>
      <w:r>
        <w:rPr>
          <w:spacing w:val="1"/>
        </w:rPr>
        <w:t> </w:t>
      </w:r>
      <w:r>
        <w:rPr/>
        <w:t>Interior de la Secretaría de Hacienda y Crédito Público, el Titular de la Unidad de Contabilidad Gubernamental</w:t>
      </w:r>
      <w:r>
        <w:rPr>
          <w:spacing w:val="1"/>
        </w:rPr>
        <w:t> </w:t>
      </w:r>
      <w:r>
        <w:rPr/>
        <w:t>de la Subsecretaría de Egresos de la Secretaría de Hacienda y Crédito Público, en mi calidad de Secretario</w:t>
      </w:r>
      <w:r>
        <w:rPr>
          <w:spacing w:val="1"/>
        </w:rPr>
        <w:t> </w:t>
      </w:r>
      <w:r>
        <w:rPr/>
        <w:t>Técnico del Consejo Nacional de Armonización Contable, HAGO CONSTAR Y CERTIFICO que el documento</w:t>
      </w:r>
      <w:r>
        <w:rPr>
          <w:spacing w:val="1"/>
        </w:rPr>
        <w:t> </w:t>
      </w:r>
      <w:r>
        <w:rPr/>
        <w:t>consistente</w:t>
      </w:r>
      <w:r>
        <w:rPr>
          <w:spacing w:val="19"/>
        </w:rPr>
        <w:t> </w:t>
      </w:r>
      <w:r>
        <w:rPr/>
        <w:t>en</w:t>
      </w:r>
      <w:r>
        <w:rPr>
          <w:spacing w:val="18"/>
        </w:rPr>
        <w:t> </w:t>
      </w:r>
      <w:r>
        <w:rPr/>
        <w:t>1</w:t>
      </w:r>
      <w:r>
        <w:rPr>
          <w:spacing w:val="19"/>
        </w:rPr>
        <w:t> </w:t>
      </w:r>
      <w:r>
        <w:rPr/>
        <w:t>foja</w:t>
      </w:r>
      <w:r>
        <w:rPr>
          <w:spacing w:val="20"/>
        </w:rPr>
        <w:t> </w:t>
      </w:r>
      <w:r>
        <w:rPr/>
        <w:t>útil,</w:t>
      </w:r>
      <w:r>
        <w:rPr>
          <w:spacing w:val="17"/>
        </w:rPr>
        <w:t> </w:t>
      </w:r>
      <w:r>
        <w:rPr/>
        <w:t>impresa</w:t>
      </w:r>
      <w:r>
        <w:rPr>
          <w:spacing w:val="19"/>
        </w:rPr>
        <w:t> </w:t>
      </w:r>
      <w:r>
        <w:rPr/>
        <w:t>por</w:t>
      </w:r>
      <w:r>
        <w:rPr>
          <w:spacing w:val="19"/>
        </w:rPr>
        <w:t> </w:t>
      </w:r>
      <w:r>
        <w:rPr/>
        <w:t>anverso</w:t>
      </w:r>
      <w:r>
        <w:rPr>
          <w:spacing w:val="20"/>
        </w:rPr>
        <w:t> </w:t>
      </w:r>
      <w:r>
        <w:rPr/>
        <w:t>y</w:t>
      </w:r>
      <w:r>
        <w:rPr>
          <w:spacing w:val="17"/>
        </w:rPr>
        <w:t> </w:t>
      </w:r>
      <w:r>
        <w:rPr/>
        <w:t>reverso,</w:t>
      </w:r>
      <w:r>
        <w:rPr>
          <w:spacing w:val="27"/>
        </w:rPr>
        <w:t> </w:t>
      </w:r>
      <w:r>
        <w:rPr/>
        <w:t>rubricada</w:t>
      </w:r>
      <w:r>
        <w:rPr>
          <w:spacing w:val="19"/>
        </w:rPr>
        <w:t> </w:t>
      </w:r>
      <w:r>
        <w:rPr/>
        <w:t>y</w:t>
      </w:r>
      <w:r>
        <w:rPr>
          <w:spacing w:val="16"/>
        </w:rPr>
        <w:t> </w:t>
      </w:r>
      <w:r>
        <w:rPr/>
        <w:t>cotejada,</w:t>
      </w:r>
      <w:r>
        <w:rPr>
          <w:spacing w:val="20"/>
        </w:rPr>
        <w:t> </w:t>
      </w:r>
      <w:r>
        <w:rPr/>
        <w:t>denominado</w:t>
      </w:r>
      <w:r>
        <w:rPr>
          <w:spacing w:val="19"/>
        </w:rPr>
        <w:t> </w:t>
      </w:r>
      <w:r>
        <w:rPr/>
        <w:t>Acuerdo</w:t>
      </w:r>
      <w:r>
        <w:rPr>
          <w:spacing w:val="20"/>
        </w:rPr>
        <w:t> </w:t>
      </w:r>
      <w:r>
        <w:rPr/>
        <w:t>por</w:t>
      </w:r>
      <w:r>
        <w:rPr>
          <w:spacing w:val="17"/>
        </w:rPr>
        <w:t> </w:t>
      </w:r>
      <w:r>
        <w:rPr/>
        <w:t>el</w:t>
      </w:r>
      <w:r>
        <w:rPr>
          <w:spacing w:val="-48"/>
        </w:rPr>
        <w:t> </w:t>
      </w:r>
      <w:r>
        <w:rPr/>
        <w:t>que se determina la norma para establecer la estructura del formato de la relación de bienes que componen el</w:t>
      </w:r>
      <w:r>
        <w:rPr>
          <w:spacing w:val="-47"/>
        </w:rPr>
        <w:t> </w:t>
      </w:r>
      <w:r>
        <w:rPr/>
        <w:t>patrimonio del ente público, corresponde con el texto aprobado por el Consejo Nacional de Armonización</w:t>
      </w:r>
      <w:r>
        <w:rPr>
          <w:spacing w:val="1"/>
        </w:rPr>
        <w:t> </w:t>
      </w:r>
      <w:r>
        <w:rPr/>
        <w:t>Contable,</w:t>
      </w:r>
      <w:r>
        <w:rPr>
          <w:spacing w:val="9"/>
        </w:rPr>
        <w:t> </w:t>
      </w:r>
      <w:r>
        <w:rPr/>
        <w:t>mismo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estuvo</w:t>
      </w:r>
      <w:r>
        <w:rPr>
          <w:spacing w:val="10"/>
        </w:rPr>
        <w:t> </w:t>
      </w:r>
      <w:r>
        <w:rPr/>
        <w:t>a</w:t>
      </w:r>
      <w:r>
        <w:rPr>
          <w:spacing w:val="12"/>
        </w:rPr>
        <w:t> </w:t>
      </w:r>
      <w:r>
        <w:rPr/>
        <w:t>la</w:t>
      </w:r>
      <w:r>
        <w:rPr>
          <w:spacing w:val="13"/>
        </w:rPr>
        <w:t> </w:t>
      </w:r>
      <w:r>
        <w:rPr/>
        <w:t>vista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los</w:t>
      </w:r>
      <w:r>
        <w:rPr>
          <w:spacing w:val="13"/>
        </w:rPr>
        <w:t> </w:t>
      </w:r>
      <w:r>
        <w:rPr/>
        <w:t>integrantes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dicho</w:t>
      </w:r>
      <w:r>
        <w:rPr>
          <w:spacing w:val="13"/>
        </w:rPr>
        <w:t> </w:t>
      </w:r>
      <w:r>
        <w:rPr/>
        <w:t>Consejo</w:t>
      </w:r>
      <w:r>
        <w:rPr>
          <w:spacing w:val="12"/>
        </w:rPr>
        <w:t> </w:t>
      </w:r>
      <w:r>
        <w:rPr/>
        <w:t>en</w:t>
      </w:r>
      <w:r>
        <w:rPr>
          <w:spacing w:val="13"/>
        </w:rPr>
        <w:t> </w:t>
      </w:r>
      <w:r>
        <w:rPr/>
        <w:t>su</w:t>
      </w:r>
      <w:r>
        <w:rPr>
          <w:spacing w:val="13"/>
        </w:rPr>
        <w:t> </w:t>
      </w:r>
      <w:r>
        <w:rPr/>
        <w:t>tercera</w:t>
      </w:r>
      <w:r>
        <w:rPr>
          <w:spacing w:val="12"/>
        </w:rPr>
        <w:t> </w:t>
      </w:r>
      <w:r>
        <w:rPr/>
        <w:t>reunión</w:t>
      </w:r>
      <w:r>
        <w:rPr>
          <w:spacing w:val="10"/>
        </w:rPr>
        <w:t> </w:t>
      </w:r>
      <w:r>
        <w:rPr/>
        <w:t>celebrada,</w:t>
      </w:r>
      <w:r>
        <w:rPr>
          <w:spacing w:val="1"/>
        </w:rPr>
        <w:t> </w:t>
      </w:r>
      <w:r>
        <w:rPr/>
        <w:t>en segunda convocatoria, el 19 de julio del presente año, situación que se certifica para los efectos legales</w:t>
      </w:r>
      <w:r>
        <w:rPr>
          <w:spacing w:val="1"/>
        </w:rPr>
        <w:t> </w:t>
      </w:r>
      <w:r>
        <w:rPr/>
        <w:t>conducentes. El Secretario Técnico del Consejo Nacional de Armonización Contable, </w:t>
      </w:r>
      <w:r>
        <w:rPr>
          <w:rFonts w:ascii="Arial" w:hAnsi="Arial"/>
          <w:b/>
        </w:rPr>
        <w:t>Juan Manuel Alcocer</w:t>
      </w:r>
      <w:r>
        <w:rPr>
          <w:rFonts w:ascii="Arial" w:hAnsi="Arial"/>
          <w:b/>
          <w:spacing w:val="1"/>
        </w:rPr>
        <w:t> </w:t>
      </w:r>
      <w:r>
        <w:rPr>
          <w:rFonts w:ascii="Arial" w:hAnsi="Arial"/>
          <w:b/>
        </w:rPr>
        <w:t>Gamba</w:t>
      </w:r>
      <w:r>
        <w:rPr/>
        <w:t>.-</w:t>
      </w:r>
      <w:r>
        <w:rPr>
          <w:spacing w:val="-1"/>
        </w:rPr>
        <w:t> </w:t>
      </w:r>
      <w:r>
        <w:rPr/>
        <w:t>Rúbrica.</w:t>
      </w:r>
    </w:p>
    <w:sectPr>
      <w:pgSz w:w="12240" w:h="15840"/>
      <w:pgMar w:top="1100" w:bottom="280" w:left="156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lowerLetter"/>
      <w:lvlText w:val="%1)"/>
      <w:lvlJc w:val="left"/>
      <w:pPr>
        <w:ind w:left="859" w:hanging="432"/>
        <w:jc w:val="left"/>
      </w:pPr>
      <w:rPr>
        <w:rFonts w:hint="default" w:ascii="Arial MT" w:hAnsi="Arial MT" w:eastAsia="Arial MT" w:cs="Arial MT"/>
        <w:w w:val="99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1686" w:hanging="43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2512" w:hanging="43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3338" w:hanging="43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4164" w:hanging="43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4990" w:hanging="43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5816" w:hanging="43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6642" w:hanging="43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7468" w:hanging="432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spacing w:before="110"/>
      <w:ind w:left="139" w:firstLine="288"/>
      <w:jc w:val="both"/>
    </w:pPr>
    <w:rPr>
      <w:rFonts w:ascii="Arial MT" w:hAnsi="Arial MT" w:eastAsia="Arial MT" w:cs="Arial MT"/>
      <w:sz w:val="18"/>
      <w:szCs w:val="18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68"/>
      <w:ind w:left="427"/>
      <w:outlineLvl w:val="1"/>
    </w:pPr>
    <w:rPr>
      <w:rFonts w:ascii="Times New Roman" w:hAnsi="Times New Roman" w:eastAsia="Times New Roman" w:cs="Times New Roman"/>
      <w:b/>
      <w:bCs/>
      <w:sz w:val="18"/>
      <w:szCs w:val="18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100"/>
      <w:ind w:left="859" w:hanging="433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Arial MT" w:hAnsi="Arial MT" w:eastAsia="Arial MT" w:cs="Arial MT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conac_sriotecnico@hacienda.gob.mx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DOF</dc:creator>
  <dcterms:created xsi:type="dcterms:W3CDTF">2022-02-01T21:27:19Z</dcterms:created>
  <dcterms:modified xsi:type="dcterms:W3CDTF">2022-02-01T21:27:19Z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2014-11-21T00:00:00Z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2022-02-01T00:00:00Z</vt:filetime>
  </property>
</Properties>
</file>