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F0230" w:rsidRDefault="007637B6">
      <w:pPr>
        <w:pStyle w:val="Ttulo1"/>
        <w:spacing w:before="72"/>
      </w:pPr>
      <w:bookmarkStart w:id="0" w:name="_GoBack"/>
      <w:bookmarkEnd w:id="0"/>
      <w:r>
        <w:t>NORMA</w:t>
      </w:r>
      <w:r>
        <w:rPr>
          <w:spacing w:val="-5"/>
        </w:rPr>
        <w:t xml:space="preserve"> </w:t>
      </w:r>
      <w:r>
        <w:t>para</w:t>
      </w:r>
      <w:r>
        <w:rPr>
          <w:spacing w:val="-1"/>
        </w:rPr>
        <w:t xml:space="preserve"> </w:t>
      </w:r>
      <w:r>
        <w:t>establecer</w:t>
      </w:r>
      <w:r>
        <w:rPr>
          <w:spacing w:val="-3"/>
        </w:rPr>
        <w:t xml:space="preserve"> </w:t>
      </w:r>
      <w:r>
        <w:t>la</w:t>
      </w:r>
      <w:r>
        <w:rPr>
          <w:spacing w:val="-4"/>
        </w:rPr>
        <w:t xml:space="preserve"> </w:t>
      </w:r>
      <w:r>
        <w:t>estructura</w:t>
      </w:r>
      <w:r>
        <w:rPr>
          <w:spacing w:val="-1"/>
        </w:rPr>
        <w:t xml:space="preserve"> </w:t>
      </w:r>
      <w:r>
        <w:t>de</w:t>
      </w:r>
      <w:r>
        <w:rPr>
          <w:spacing w:val="-1"/>
        </w:rPr>
        <w:t xml:space="preserve"> </w:t>
      </w:r>
      <w:r>
        <w:t>información</w:t>
      </w:r>
      <w:r>
        <w:rPr>
          <w:spacing w:val="-4"/>
        </w:rPr>
        <w:t xml:space="preserve"> </w:t>
      </w:r>
      <w:r>
        <w:t>de</w:t>
      </w:r>
      <w:r>
        <w:rPr>
          <w:spacing w:val="-4"/>
        </w:rPr>
        <w:t xml:space="preserve"> </w:t>
      </w:r>
      <w:r>
        <w:t>montos</w:t>
      </w:r>
      <w:r>
        <w:rPr>
          <w:spacing w:val="-4"/>
        </w:rPr>
        <w:t xml:space="preserve"> </w:t>
      </w:r>
      <w:r>
        <w:t>pagados</w:t>
      </w:r>
      <w:r>
        <w:rPr>
          <w:spacing w:val="-1"/>
        </w:rPr>
        <w:t xml:space="preserve"> </w:t>
      </w:r>
      <w:r>
        <w:t>por</w:t>
      </w:r>
      <w:r>
        <w:rPr>
          <w:spacing w:val="-5"/>
        </w:rPr>
        <w:t xml:space="preserve"> </w:t>
      </w:r>
      <w:r>
        <w:t>ayudas</w:t>
      </w:r>
      <w:r>
        <w:rPr>
          <w:spacing w:val="3"/>
        </w:rPr>
        <w:t xml:space="preserve"> </w:t>
      </w:r>
      <w:r>
        <w:t>y</w:t>
      </w:r>
      <w:r>
        <w:rPr>
          <w:spacing w:val="-11"/>
        </w:rPr>
        <w:t xml:space="preserve"> </w:t>
      </w:r>
      <w:r>
        <w:rPr>
          <w:spacing w:val="-2"/>
        </w:rPr>
        <w:t>subsidios.</w:t>
      </w:r>
    </w:p>
    <w:p w:rsidR="00FF0230" w:rsidRDefault="007637B6">
      <w:pPr>
        <w:spacing w:before="150"/>
        <w:ind w:left="287" w:right="287"/>
        <w:jc w:val="center"/>
        <w:rPr>
          <w:sz w:val="16"/>
        </w:rPr>
      </w:pPr>
      <w:r>
        <w:rPr>
          <w:color w:val="0000FF"/>
          <w:sz w:val="16"/>
        </w:rPr>
        <w:t>Publicado</w:t>
      </w:r>
      <w:r>
        <w:rPr>
          <w:color w:val="0000FF"/>
          <w:spacing w:val="-5"/>
          <w:sz w:val="16"/>
        </w:rPr>
        <w:t xml:space="preserve"> </w:t>
      </w:r>
      <w:r>
        <w:rPr>
          <w:color w:val="0000FF"/>
          <w:sz w:val="16"/>
        </w:rPr>
        <w:t>en</w:t>
      </w:r>
      <w:r>
        <w:rPr>
          <w:color w:val="0000FF"/>
          <w:spacing w:val="-2"/>
          <w:sz w:val="16"/>
        </w:rPr>
        <w:t xml:space="preserve"> </w:t>
      </w:r>
      <w:r>
        <w:rPr>
          <w:color w:val="0000FF"/>
          <w:sz w:val="16"/>
        </w:rPr>
        <w:t>el</w:t>
      </w:r>
      <w:r>
        <w:rPr>
          <w:color w:val="0000FF"/>
          <w:spacing w:val="-3"/>
          <w:sz w:val="16"/>
        </w:rPr>
        <w:t xml:space="preserve"> </w:t>
      </w:r>
      <w:r>
        <w:rPr>
          <w:color w:val="0000FF"/>
          <w:sz w:val="16"/>
        </w:rPr>
        <w:t>Diario</w:t>
      </w:r>
      <w:r>
        <w:rPr>
          <w:color w:val="0000FF"/>
          <w:spacing w:val="-2"/>
          <w:sz w:val="16"/>
        </w:rPr>
        <w:t xml:space="preserve"> </w:t>
      </w:r>
      <w:r>
        <w:rPr>
          <w:color w:val="0000FF"/>
          <w:sz w:val="16"/>
        </w:rPr>
        <w:t>Oficial</w:t>
      </w:r>
      <w:r>
        <w:rPr>
          <w:color w:val="0000FF"/>
          <w:spacing w:val="-2"/>
          <w:sz w:val="16"/>
        </w:rPr>
        <w:t xml:space="preserve"> </w:t>
      </w:r>
      <w:r>
        <w:rPr>
          <w:color w:val="0000FF"/>
          <w:sz w:val="16"/>
        </w:rPr>
        <w:t>de</w:t>
      </w:r>
      <w:r>
        <w:rPr>
          <w:color w:val="0000FF"/>
          <w:spacing w:val="-4"/>
          <w:sz w:val="16"/>
        </w:rPr>
        <w:t xml:space="preserve"> </w:t>
      </w:r>
      <w:r>
        <w:rPr>
          <w:color w:val="0000FF"/>
          <w:sz w:val="16"/>
        </w:rPr>
        <w:t>la</w:t>
      </w:r>
      <w:r>
        <w:rPr>
          <w:color w:val="0000FF"/>
          <w:spacing w:val="-4"/>
          <w:sz w:val="16"/>
        </w:rPr>
        <w:t xml:space="preserve"> </w:t>
      </w:r>
      <w:r>
        <w:rPr>
          <w:color w:val="0000FF"/>
          <w:sz w:val="16"/>
        </w:rPr>
        <w:t>Federación</w:t>
      </w:r>
      <w:r>
        <w:rPr>
          <w:color w:val="0000FF"/>
          <w:spacing w:val="-2"/>
          <w:sz w:val="16"/>
        </w:rPr>
        <w:t xml:space="preserve"> </w:t>
      </w:r>
      <w:r>
        <w:rPr>
          <w:color w:val="0000FF"/>
          <w:sz w:val="16"/>
        </w:rPr>
        <w:t>el</w:t>
      </w:r>
      <w:r>
        <w:rPr>
          <w:color w:val="0000FF"/>
          <w:spacing w:val="-2"/>
          <w:sz w:val="16"/>
        </w:rPr>
        <w:t xml:space="preserve"> </w:t>
      </w:r>
      <w:r>
        <w:rPr>
          <w:color w:val="0000FF"/>
          <w:sz w:val="16"/>
        </w:rPr>
        <w:t>3</w:t>
      </w:r>
      <w:r>
        <w:rPr>
          <w:color w:val="0000FF"/>
          <w:spacing w:val="-2"/>
          <w:sz w:val="16"/>
        </w:rPr>
        <w:t xml:space="preserve"> </w:t>
      </w:r>
      <w:r>
        <w:rPr>
          <w:color w:val="0000FF"/>
          <w:sz w:val="16"/>
        </w:rPr>
        <w:t>de</w:t>
      </w:r>
      <w:r>
        <w:rPr>
          <w:color w:val="0000FF"/>
          <w:spacing w:val="-4"/>
          <w:sz w:val="16"/>
        </w:rPr>
        <w:t xml:space="preserve"> </w:t>
      </w:r>
      <w:r>
        <w:rPr>
          <w:color w:val="0000FF"/>
          <w:sz w:val="16"/>
        </w:rPr>
        <w:t>abril</w:t>
      </w:r>
      <w:r>
        <w:rPr>
          <w:color w:val="0000FF"/>
          <w:spacing w:val="-1"/>
          <w:sz w:val="16"/>
        </w:rPr>
        <w:t xml:space="preserve"> </w:t>
      </w:r>
      <w:r>
        <w:rPr>
          <w:color w:val="0000FF"/>
          <w:sz w:val="16"/>
        </w:rPr>
        <w:t>de</w:t>
      </w:r>
      <w:r>
        <w:rPr>
          <w:color w:val="0000FF"/>
          <w:spacing w:val="-4"/>
          <w:sz w:val="16"/>
        </w:rPr>
        <w:t xml:space="preserve"> 2013</w:t>
      </w:r>
    </w:p>
    <w:p w:rsidR="00FF0230" w:rsidRDefault="00FF0230">
      <w:pPr>
        <w:pStyle w:val="Textoindependiente"/>
        <w:spacing w:before="23"/>
        <w:rPr>
          <w:sz w:val="16"/>
        </w:rPr>
      </w:pPr>
    </w:p>
    <w:p w:rsidR="00FF0230" w:rsidRDefault="007637B6">
      <w:pPr>
        <w:ind w:left="547" w:firstLine="5529"/>
        <w:rPr>
          <w:sz w:val="16"/>
        </w:rPr>
      </w:pPr>
      <w:r>
        <w:rPr>
          <w:color w:val="0000FF"/>
          <w:sz w:val="16"/>
        </w:rPr>
        <w:t>Última</w:t>
      </w:r>
      <w:r>
        <w:rPr>
          <w:color w:val="0000FF"/>
          <w:spacing w:val="-9"/>
          <w:sz w:val="16"/>
        </w:rPr>
        <w:t xml:space="preserve"> </w:t>
      </w:r>
      <w:r>
        <w:rPr>
          <w:color w:val="0000FF"/>
          <w:sz w:val="16"/>
        </w:rPr>
        <w:t>reforma</w:t>
      </w:r>
      <w:r>
        <w:rPr>
          <w:color w:val="0000FF"/>
          <w:spacing w:val="-7"/>
          <w:sz w:val="16"/>
        </w:rPr>
        <w:t xml:space="preserve"> </w:t>
      </w:r>
      <w:r>
        <w:rPr>
          <w:color w:val="0000FF"/>
          <w:sz w:val="16"/>
        </w:rPr>
        <w:t>publicada</w:t>
      </w:r>
      <w:r>
        <w:rPr>
          <w:color w:val="0000FF"/>
          <w:spacing w:val="-7"/>
          <w:sz w:val="16"/>
        </w:rPr>
        <w:t xml:space="preserve"> </w:t>
      </w:r>
      <w:r>
        <w:rPr>
          <w:color w:val="0000FF"/>
          <w:sz w:val="16"/>
        </w:rPr>
        <w:t>DOF</w:t>
      </w:r>
      <w:r>
        <w:rPr>
          <w:color w:val="0000FF"/>
          <w:spacing w:val="-5"/>
          <w:sz w:val="16"/>
        </w:rPr>
        <w:t xml:space="preserve"> </w:t>
      </w:r>
      <w:r>
        <w:rPr>
          <w:color w:val="0000FF"/>
          <w:sz w:val="16"/>
        </w:rPr>
        <w:t>06-10-</w:t>
      </w:r>
      <w:r>
        <w:rPr>
          <w:color w:val="0000FF"/>
          <w:spacing w:val="-4"/>
          <w:sz w:val="16"/>
        </w:rPr>
        <w:t>2014</w:t>
      </w:r>
    </w:p>
    <w:p w:rsidR="00FF0230" w:rsidRDefault="00FF0230">
      <w:pPr>
        <w:pStyle w:val="Textoindependiente"/>
        <w:spacing w:before="43"/>
        <w:rPr>
          <w:sz w:val="16"/>
        </w:rPr>
      </w:pPr>
    </w:p>
    <w:p w:rsidR="00FF0230" w:rsidRDefault="007637B6">
      <w:pPr>
        <w:pStyle w:val="Textoindependiente"/>
        <w:spacing w:line="391" w:lineRule="auto"/>
        <w:ind w:left="259" w:right="254" w:firstLine="288"/>
        <w:jc w:val="both"/>
      </w:pPr>
      <w:r>
        <w:t>Con fundamento en los artículos 9, fracciones I, IX y XIV, 14 y 67, último párrafo, de la Ley General de Contabilidad Gubernamental y Cuarto Transitorio del Decreto por el que se reforma y adiciona la Ley General de Contabilidad Gubernamental, para transpa</w:t>
      </w:r>
      <w:r>
        <w:t>rentar y armonizar la información financiera relativa a la aplicación de recursos públicos en los distintos órdenes de gobierno publicado en el Diario Oficial de la Federación el 12 de noviembre de 2012 se emite la:</w:t>
      </w:r>
    </w:p>
    <w:p w:rsidR="00FF0230" w:rsidRDefault="007637B6">
      <w:pPr>
        <w:pStyle w:val="Ttulo1"/>
        <w:spacing w:before="103" w:line="508" w:lineRule="auto"/>
        <w:ind w:right="160"/>
      </w:pPr>
      <w:r>
        <w:t>Norma</w:t>
      </w:r>
      <w:r>
        <w:rPr>
          <w:spacing w:val="-2"/>
        </w:rPr>
        <w:t xml:space="preserve"> </w:t>
      </w:r>
      <w:r>
        <w:t>para</w:t>
      </w:r>
      <w:r>
        <w:rPr>
          <w:spacing w:val="-5"/>
        </w:rPr>
        <w:t xml:space="preserve"> </w:t>
      </w:r>
      <w:r>
        <w:t>establecer</w:t>
      </w:r>
      <w:r>
        <w:rPr>
          <w:spacing w:val="-6"/>
        </w:rPr>
        <w:t xml:space="preserve"> </w:t>
      </w:r>
      <w:r>
        <w:t>la</w:t>
      </w:r>
      <w:r>
        <w:rPr>
          <w:spacing w:val="-2"/>
        </w:rPr>
        <w:t xml:space="preserve"> </w:t>
      </w:r>
      <w:r>
        <w:t>estructura</w:t>
      </w:r>
      <w:r>
        <w:rPr>
          <w:spacing w:val="-2"/>
        </w:rPr>
        <w:t xml:space="preserve"> </w:t>
      </w:r>
      <w:r>
        <w:t>de</w:t>
      </w:r>
      <w:r>
        <w:rPr>
          <w:spacing w:val="-5"/>
        </w:rPr>
        <w:t xml:space="preserve"> </w:t>
      </w:r>
      <w:r>
        <w:t>i</w:t>
      </w:r>
      <w:r>
        <w:t>nformación</w:t>
      </w:r>
      <w:r>
        <w:rPr>
          <w:spacing w:val="-3"/>
        </w:rPr>
        <w:t xml:space="preserve"> </w:t>
      </w:r>
      <w:r>
        <w:t>de</w:t>
      </w:r>
      <w:r>
        <w:rPr>
          <w:spacing w:val="-2"/>
        </w:rPr>
        <w:t xml:space="preserve"> </w:t>
      </w:r>
      <w:r>
        <w:t>montos</w:t>
      </w:r>
      <w:r>
        <w:rPr>
          <w:spacing w:val="-2"/>
        </w:rPr>
        <w:t xml:space="preserve"> </w:t>
      </w:r>
      <w:r>
        <w:t>pagados</w:t>
      </w:r>
      <w:r>
        <w:rPr>
          <w:spacing w:val="-2"/>
        </w:rPr>
        <w:t xml:space="preserve"> </w:t>
      </w:r>
      <w:r>
        <w:t>por</w:t>
      </w:r>
      <w:r>
        <w:rPr>
          <w:spacing w:val="-4"/>
        </w:rPr>
        <w:t xml:space="preserve"> </w:t>
      </w:r>
      <w:r>
        <w:t>ayudas y</w:t>
      </w:r>
      <w:r>
        <w:rPr>
          <w:spacing w:val="-7"/>
        </w:rPr>
        <w:t xml:space="preserve"> </w:t>
      </w:r>
      <w:r>
        <w:t xml:space="preserve">subsidios. </w:t>
      </w:r>
      <w:r>
        <w:rPr>
          <w:spacing w:val="-2"/>
        </w:rPr>
        <w:t>Objeto</w:t>
      </w:r>
    </w:p>
    <w:p w:rsidR="00FF0230" w:rsidRDefault="007637B6">
      <w:pPr>
        <w:pStyle w:val="Textoindependiente"/>
        <w:spacing w:before="1" w:line="391" w:lineRule="auto"/>
        <w:ind w:left="979" w:right="252" w:hanging="432"/>
        <w:jc w:val="both"/>
      </w:pPr>
      <w:r>
        <w:t>1</w:t>
      </w:r>
      <w:r>
        <w:rPr>
          <w:spacing w:val="80"/>
        </w:rPr>
        <w:t xml:space="preserve"> </w:t>
      </w:r>
      <w:r>
        <w:t>Establecer la estructura del formato que los entes obligados deberán publicar en Internet con la información de los montos efectivamente pagados durante el periodo por concepto de ayudas y subsi</w:t>
      </w:r>
      <w:r>
        <w:t>dios a los sectores económicos y sociales para que la información financiera que generen y publiquen sea con base en estructuras y formatos armonizados.</w:t>
      </w:r>
    </w:p>
    <w:p w:rsidR="00FF0230" w:rsidRDefault="007637B6">
      <w:pPr>
        <w:spacing w:before="100"/>
        <w:ind w:left="6477"/>
        <w:jc w:val="both"/>
        <w:rPr>
          <w:sz w:val="16"/>
        </w:rPr>
      </w:pPr>
      <w:r>
        <w:rPr>
          <w:color w:val="0000FF"/>
          <w:sz w:val="16"/>
        </w:rPr>
        <w:t>Numeral</w:t>
      </w:r>
      <w:r>
        <w:rPr>
          <w:color w:val="0000FF"/>
          <w:spacing w:val="-7"/>
          <w:sz w:val="16"/>
        </w:rPr>
        <w:t xml:space="preserve"> </w:t>
      </w:r>
      <w:r>
        <w:rPr>
          <w:color w:val="0000FF"/>
          <w:sz w:val="16"/>
        </w:rPr>
        <w:t>reformado</w:t>
      </w:r>
      <w:r>
        <w:rPr>
          <w:color w:val="0000FF"/>
          <w:spacing w:val="-7"/>
          <w:sz w:val="16"/>
        </w:rPr>
        <w:t xml:space="preserve"> </w:t>
      </w:r>
      <w:r>
        <w:rPr>
          <w:color w:val="0000FF"/>
          <w:sz w:val="16"/>
        </w:rPr>
        <w:t>DOF</w:t>
      </w:r>
      <w:r>
        <w:rPr>
          <w:color w:val="0000FF"/>
          <w:spacing w:val="-7"/>
          <w:sz w:val="16"/>
        </w:rPr>
        <w:t xml:space="preserve"> </w:t>
      </w:r>
      <w:r>
        <w:rPr>
          <w:color w:val="0000FF"/>
          <w:sz w:val="16"/>
        </w:rPr>
        <w:t>06-10-</w:t>
      </w:r>
      <w:r>
        <w:rPr>
          <w:color w:val="0000FF"/>
          <w:spacing w:val="-4"/>
          <w:sz w:val="16"/>
        </w:rPr>
        <w:t>2014</w:t>
      </w:r>
    </w:p>
    <w:p w:rsidR="00FF0230" w:rsidRDefault="00FF0230">
      <w:pPr>
        <w:pStyle w:val="Textoindependiente"/>
        <w:spacing w:before="45"/>
        <w:rPr>
          <w:sz w:val="16"/>
        </w:rPr>
      </w:pPr>
    </w:p>
    <w:p w:rsidR="00FF0230" w:rsidRDefault="007637B6">
      <w:pPr>
        <w:pStyle w:val="Ttulo1"/>
      </w:pPr>
      <w:r>
        <w:t>Ámbito</w:t>
      </w:r>
      <w:r>
        <w:rPr>
          <w:spacing w:val="-3"/>
        </w:rPr>
        <w:t xml:space="preserve"> </w:t>
      </w:r>
      <w:r>
        <w:t>de</w:t>
      </w:r>
      <w:r>
        <w:rPr>
          <w:spacing w:val="-1"/>
        </w:rPr>
        <w:t xml:space="preserve"> </w:t>
      </w:r>
      <w:r>
        <w:rPr>
          <w:spacing w:val="-2"/>
        </w:rPr>
        <w:t>aplicación</w:t>
      </w:r>
    </w:p>
    <w:p w:rsidR="00FF0230" w:rsidRDefault="00FF0230">
      <w:pPr>
        <w:pStyle w:val="Textoindependiente"/>
        <w:spacing w:before="25"/>
        <w:rPr>
          <w:rFonts w:ascii="Arial"/>
          <w:b/>
        </w:rPr>
      </w:pPr>
    </w:p>
    <w:p w:rsidR="00FF0230" w:rsidRDefault="007637B6">
      <w:pPr>
        <w:pStyle w:val="Prrafodelista"/>
        <w:numPr>
          <w:ilvl w:val="0"/>
          <w:numId w:val="1"/>
        </w:numPr>
        <w:tabs>
          <w:tab w:val="left" w:pos="979"/>
        </w:tabs>
        <w:spacing w:line="391" w:lineRule="auto"/>
        <w:ind w:right="253"/>
        <w:jc w:val="both"/>
        <w:rPr>
          <w:sz w:val="18"/>
        </w:rPr>
      </w:pPr>
      <w:r>
        <w:rPr>
          <w:sz w:val="18"/>
        </w:rPr>
        <w:t xml:space="preserve">Las presentes disposiciones son de observancia </w:t>
      </w:r>
      <w:r>
        <w:rPr>
          <w:sz w:val="18"/>
        </w:rPr>
        <w:t>obligatoria para los poderes Ejecutivo, Legislativo y Judicial de la Federación y de las entidades federativas; entes autónomos de la Federación y de las entidades federativas; ayuntamientos de los municipios; órganos político-administrativos de las demarc</w:t>
      </w:r>
      <w:r>
        <w:rPr>
          <w:sz w:val="18"/>
        </w:rPr>
        <w:t>aciones territoriales del Distrito Federal; y las entidades de la administración pública paraestatal, ya sean federales, estatales o municipales.</w:t>
      </w:r>
    </w:p>
    <w:p w:rsidR="00FF0230" w:rsidRDefault="007637B6">
      <w:pPr>
        <w:pStyle w:val="Ttulo1"/>
        <w:spacing w:before="104"/>
      </w:pPr>
      <w:r>
        <w:rPr>
          <w:spacing w:val="-2"/>
        </w:rPr>
        <w:t>Normas</w:t>
      </w:r>
    </w:p>
    <w:p w:rsidR="00FF0230" w:rsidRDefault="00FF0230">
      <w:pPr>
        <w:pStyle w:val="Textoindependiente"/>
        <w:spacing w:before="25"/>
        <w:rPr>
          <w:rFonts w:ascii="Arial"/>
          <w:b/>
        </w:rPr>
      </w:pPr>
    </w:p>
    <w:p w:rsidR="00FF0230" w:rsidRDefault="007637B6">
      <w:pPr>
        <w:pStyle w:val="Prrafodelista"/>
        <w:numPr>
          <w:ilvl w:val="0"/>
          <w:numId w:val="1"/>
        </w:numPr>
        <w:tabs>
          <w:tab w:val="left" w:pos="979"/>
        </w:tabs>
        <w:spacing w:line="391" w:lineRule="auto"/>
        <w:jc w:val="both"/>
        <w:rPr>
          <w:sz w:val="18"/>
        </w:rPr>
      </w:pPr>
      <w:r>
        <w:rPr>
          <w:sz w:val="18"/>
        </w:rPr>
        <w:t>En apego al artículo 67 de la Ley General de Contabilidad Gubernamental, los entes obligados publicarán en Internet la información sobre los montos efectivamente pagados durante el periodo por concepto de ayudas y subsidios a los sectores económicos y soci</w:t>
      </w:r>
      <w:r>
        <w:rPr>
          <w:sz w:val="18"/>
        </w:rPr>
        <w:t>ales.</w:t>
      </w:r>
    </w:p>
    <w:p w:rsidR="00FF0230" w:rsidRDefault="007637B6">
      <w:pPr>
        <w:spacing w:before="99"/>
        <w:ind w:left="6477"/>
        <w:jc w:val="both"/>
        <w:rPr>
          <w:sz w:val="16"/>
        </w:rPr>
      </w:pPr>
      <w:r>
        <w:rPr>
          <w:color w:val="0000FF"/>
          <w:sz w:val="16"/>
        </w:rPr>
        <w:t>Numeral</w:t>
      </w:r>
      <w:r>
        <w:rPr>
          <w:color w:val="0000FF"/>
          <w:spacing w:val="-7"/>
          <w:sz w:val="16"/>
        </w:rPr>
        <w:t xml:space="preserve"> </w:t>
      </w:r>
      <w:r>
        <w:rPr>
          <w:color w:val="0000FF"/>
          <w:sz w:val="16"/>
        </w:rPr>
        <w:t>reformado</w:t>
      </w:r>
      <w:r>
        <w:rPr>
          <w:color w:val="0000FF"/>
          <w:spacing w:val="-7"/>
          <w:sz w:val="16"/>
        </w:rPr>
        <w:t xml:space="preserve"> </w:t>
      </w:r>
      <w:r>
        <w:rPr>
          <w:color w:val="0000FF"/>
          <w:sz w:val="16"/>
        </w:rPr>
        <w:t>DOF</w:t>
      </w:r>
      <w:r>
        <w:rPr>
          <w:color w:val="0000FF"/>
          <w:spacing w:val="-7"/>
          <w:sz w:val="16"/>
        </w:rPr>
        <w:t xml:space="preserve"> </w:t>
      </w:r>
      <w:r>
        <w:rPr>
          <w:color w:val="0000FF"/>
          <w:sz w:val="16"/>
        </w:rPr>
        <w:t>06-10-</w:t>
      </w:r>
      <w:r>
        <w:rPr>
          <w:color w:val="0000FF"/>
          <w:spacing w:val="-4"/>
          <w:sz w:val="16"/>
        </w:rPr>
        <w:t>2014</w:t>
      </w:r>
    </w:p>
    <w:p w:rsidR="00FF0230" w:rsidRDefault="00FF0230">
      <w:pPr>
        <w:pStyle w:val="Textoindependiente"/>
        <w:spacing w:before="45"/>
        <w:rPr>
          <w:sz w:val="16"/>
        </w:rPr>
      </w:pPr>
    </w:p>
    <w:p w:rsidR="00FF0230" w:rsidRDefault="007637B6">
      <w:pPr>
        <w:pStyle w:val="Ttulo1"/>
      </w:pPr>
      <w:r>
        <w:t>Precisiones</w:t>
      </w:r>
      <w:r>
        <w:rPr>
          <w:spacing w:val="-3"/>
        </w:rPr>
        <w:t xml:space="preserve"> </w:t>
      </w:r>
      <w:r>
        <w:t>al</w:t>
      </w:r>
      <w:r>
        <w:rPr>
          <w:spacing w:val="-2"/>
        </w:rPr>
        <w:t xml:space="preserve"> formato</w:t>
      </w:r>
    </w:p>
    <w:p w:rsidR="00FF0230" w:rsidRDefault="00FF0230">
      <w:pPr>
        <w:pStyle w:val="Textoindependiente"/>
        <w:spacing w:before="25"/>
        <w:rPr>
          <w:rFonts w:ascii="Arial"/>
          <w:b/>
        </w:rPr>
      </w:pPr>
    </w:p>
    <w:p w:rsidR="00FF0230" w:rsidRDefault="007637B6">
      <w:pPr>
        <w:pStyle w:val="Prrafodelista"/>
        <w:numPr>
          <w:ilvl w:val="0"/>
          <w:numId w:val="1"/>
        </w:numPr>
        <w:tabs>
          <w:tab w:val="left" w:pos="979"/>
        </w:tabs>
        <w:ind w:right="0"/>
        <w:rPr>
          <w:sz w:val="18"/>
        </w:rPr>
      </w:pPr>
      <w:r>
        <w:rPr>
          <w:sz w:val="18"/>
        </w:rPr>
        <w:t>Esquema</w:t>
      </w:r>
      <w:r>
        <w:rPr>
          <w:spacing w:val="-5"/>
          <w:sz w:val="18"/>
        </w:rPr>
        <w:t xml:space="preserve"> </w:t>
      </w:r>
      <w:r>
        <w:rPr>
          <w:sz w:val="18"/>
        </w:rPr>
        <w:t>de</w:t>
      </w:r>
      <w:r>
        <w:rPr>
          <w:spacing w:val="-1"/>
          <w:sz w:val="18"/>
        </w:rPr>
        <w:t xml:space="preserve"> </w:t>
      </w:r>
      <w:r>
        <w:rPr>
          <w:sz w:val="18"/>
        </w:rPr>
        <w:t>información</w:t>
      </w:r>
      <w:r>
        <w:rPr>
          <w:spacing w:val="-5"/>
          <w:sz w:val="18"/>
        </w:rPr>
        <w:t xml:space="preserve"> </w:t>
      </w:r>
      <w:r>
        <w:rPr>
          <w:sz w:val="18"/>
        </w:rPr>
        <w:t>de</w:t>
      </w:r>
      <w:r>
        <w:rPr>
          <w:spacing w:val="-4"/>
          <w:sz w:val="18"/>
        </w:rPr>
        <w:t xml:space="preserve"> </w:t>
      </w:r>
      <w:r>
        <w:rPr>
          <w:sz w:val="18"/>
        </w:rPr>
        <w:t>montos</w:t>
      </w:r>
      <w:r>
        <w:rPr>
          <w:spacing w:val="-2"/>
          <w:sz w:val="18"/>
        </w:rPr>
        <w:t xml:space="preserve"> </w:t>
      </w:r>
      <w:r>
        <w:rPr>
          <w:sz w:val="18"/>
        </w:rPr>
        <w:t>pagados</w:t>
      </w:r>
      <w:r>
        <w:rPr>
          <w:spacing w:val="-1"/>
          <w:sz w:val="18"/>
        </w:rPr>
        <w:t xml:space="preserve"> </w:t>
      </w:r>
      <w:r>
        <w:rPr>
          <w:sz w:val="18"/>
        </w:rPr>
        <w:t>por</w:t>
      </w:r>
      <w:r>
        <w:rPr>
          <w:spacing w:val="-3"/>
          <w:sz w:val="18"/>
        </w:rPr>
        <w:t xml:space="preserve"> </w:t>
      </w:r>
      <w:r>
        <w:rPr>
          <w:sz w:val="18"/>
        </w:rPr>
        <w:t>ayudas</w:t>
      </w:r>
      <w:r>
        <w:rPr>
          <w:spacing w:val="-2"/>
          <w:sz w:val="18"/>
        </w:rPr>
        <w:t xml:space="preserve"> </w:t>
      </w:r>
      <w:r>
        <w:rPr>
          <w:sz w:val="18"/>
        </w:rPr>
        <w:t>y</w:t>
      </w:r>
      <w:r>
        <w:rPr>
          <w:spacing w:val="-3"/>
          <w:sz w:val="18"/>
        </w:rPr>
        <w:t xml:space="preserve"> </w:t>
      </w:r>
      <w:r>
        <w:rPr>
          <w:sz w:val="18"/>
        </w:rPr>
        <w:t>subsidios,</w:t>
      </w:r>
      <w:r>
        <w:rPr>
          <w:spacing w:val="-3"/>
          <w:sz w:val="18"/>
        </w:rPr>
        <w:t xml:space="preserve"> </w:t>
      </w:r>
      <w:r>
        <w:rPr>
          <w:sz w:val="18"/>
        </w:rPr>
        <w:t>el</w:t>
      </w:r>
      <w:r>
        <w:rPr>
          <w:spacing w:val="-1"/>
          <w:sz w:val="18"/>
        </w:rPr>
        <w:t xml:space="preserve"> </w:t>
      </w:r>
      <w:r>
        <w:rPr>
          <w:sz w:val="18"/>
        </w:rPr>
        <w:t>formato</w:t>
      </w:r>
      <w:r>
        <w:rPr>
          <w:spacing w:val="-2"/>
          <w:sz w:val="18"/>
        </w:rPr>
        <w:t xml:space="preserve"> </w:t>
      </w:r>
      <w:r>
        <w:rPr>
          <w:sz w:val="18"/>
        </w:rPr>
        <w:t>se</w:t>
      </w:r>
      <w:r>
        <w:rPr>
          <w:spacing w:val="-1"/>
          <w:sz w:val="18"/>
        </w:rPr>
        <w:t xml:space="preserve"> </w:t>
      </w:r>
      <w:r>
        <w:rPr>
          <w:sz w:val="18"/>
        </w:rPr>
        <w:t>integra</w:t>
      </w:r>
      <w:r>
        <w:rPr>
          <w:spacing w:val="-7"/>
          <w:sz w:val="18"/>
        </w:rPr>
        <w:t xml:space="preserve"> </w:t>
      </w:r>
      <w:r>
        <w:rPr>
          <w:spacing w:val="-4"/>
          <w:sz w:val="18"/>
        </w:rPr>
        <w:t>por:</w:t>
      </w:r>
    </w:p>
    <w:p w:rsidR="00FF0230" w:rsidRDefault="00FF0230">
      <w:pPr>
        <w:pStyle w:val="Textoindependiente"/>
        <w:spacing w:before="25"/>
      </w:pPr>
    </w:p>
    <w:p w:rsidR="00FF0230" w:rsidRDefault="007637B6">
      <w:pPr>
        <w:pStyle w:val="Prrafodelista"/>
        <w:numPr>
          <w:ilvl w:val="1"/>
          <w:numId w:val="1"/>
        </w:numPr>
        <w:tabs>
          <w:tab w:val="left" w:pos="1339"/>
        </w:tabs>
        <w:spacing w:line="391" w:lineRule="auto"/>
        <w:jc w:val="both"/>
        <w:rPr>
          <w:sz w:val="18"/>
        </w:rPr>
      </w:pPr>
      <w:r>
        <w:rPr>
          <w:sz w:val="18"/>
        </w:rPr>
        <w:t xml:space="preserve">Concepto: Identificar el número y nombre de la partida genérica del Clasificador por Objeto del </w:t>
      </w:r>
      <w:r>
        <w:rPr>
          <w:spacing w:val="-2"/>
          <w:sz w:val="18"/>
        </w:rPr>
        <w:t>Gasto.</w:t>
      </w:r>
    </w:p>
    <w:p w:rsidR="00FF0230" w:rsidRDefault="007637B6">
      <w:pPr>
        <w:spacing w:before="98"/>
        <w:ind w:left="6664"/>
        <w:jc w:val="both"/>
        <w:rPr>
          <w:sz w:val="16"/>
        </w:rPr>
      </w:pPr>
      <w:r>
        <w:rPr>
          <w:color w:val="0000FF"/>
          <w:sz w:val="16"/>
        </w:rPr>
        <w:t>Inciso</w:t>
      </w:r>
      <w:r>
        <w:rPr>
          <w:color w:val="0000FF"/>
          <w:spacing w:val="-7"/>
          <w:sz w:val="16"/>
        </w:rPr>
        <w:t xml:space="preserve"> </w:t>
      </w:r>
      <w:r>
        <w:rPr>
          <w:color w:val="0000FF"/>
          <w:sz w:val="16"/>
        </w:rPr>
        <w:t>reformado</w:t>
      </w:r>
      <w:r>
        <w:rPr>
          <w:color w:val="0000FF"/>
          <w:spacing w:val="-7"/>
          <w:sz w:val="16"/>
        </w:rPr>
        <w:t xml:space="preserve"> </w:t>
      </w:r>
      <w:r>
        <w:rPr>
          <w:color w:val="0000FF"/>
          <w:sz w:val="16"/>
        </w:rPr>
        <w:t>DOF</w:t>
      </w:r>
      <w:r>
        <w:rPr>
          <w:color w:val="0000FF"/>
          <w:spacing w:val="-8"/>
          <w:sz w:val="16"/>
        </w:rPr>
        <w:t xml:space="preserve"> </w:t>
      </w:r>
      <w:r>
        <w:rPr>
          <w:color w:val="0000FF"/>
          <w:sz w:val="16"/>
        </w:rPr>
        <w:t>06-10-</w:t>
      </w:r>
      <w:r>
        <w:rPr>
          <w:color w:val="0000FF"/>
          <w:spacing w:val="-4"/>
          <w:sz w:val="16"/>
        </w:rPr>
        <w:t>2014</w:t>
      </w:r>
    </w:p>
    <w:p w:rsidR="00FF0230" w:rsidRDefault="00FF0230">
      <w:pPr>
        <w:pStyle w:val="Textoindependiente"/>
        <w:spacing w:before="45"/>
        <w:rPr>
          <w:sz w:val="16"/>
        </w:rPr>
      </w:pPr>
    </w:p>
    <w:p w:rsidR="00FF0230" w:rsidRDefault="007637B6">
      <w:pPr>
        <w:pStyle w:val="Prrafodelista"/>
        <w:numPr>
          <w:ilvl w:val="1"/>
          <w:numId w:val="1"/>
        </w:numPr>
        <w:tabs>
          <w:tab w:val="left" w:pos="1339"/>
        </w:tabs>
        <w:spacing w:line="391" w:lineRule="auto"/>
        <w:jc w:val="both"/>
        <w:rPr>
          <w:sz w:val="18"/>
        </w:rPr>
      </w:pPr>
      <w:r>
        <w:rPr>
          <w:sz w:val="18"/>
        </w:rPr>
        <w:t>Sector: Indicar con una “X” el tipo de sector que se ha beneficiado otorgando subsidios o</w:t>
      </w:r>
      <w:r>
        <w:rPr>
          <w:spacing w:val="80"/>
          <w:sz w:val="18"/>
        </w:rPr>
        <w:t xml:space="preserve"> </w:t>
      </w:r>
      <w:r>
        <w:rPr>
          <w:sz w:val="18"/>
        </w:rPr>
        <w:t>ayudas, para efectos de este apartado se relacionan a los subsidios con el sector económico y</w:t>
      </w:r>
      <w:r>
        <w:rPr>
          <w:spacing w:val="-1"/>
          <w:sz w:val="18"/>
        </w:rPr>
        <w:t xml:space="preserve"> </w:t>
      </w:r>
      <w:r>
        <w:rPr>
          <w:sz w:val="18"/>
        </w:rPr>
        <w:t>a las ayudas con el social.</w:t>
      </w:r>
    </w:p>
    <w:p w:rsidR="00FF0230" w:rsidRDefault="007637B6">
      <w:pPr>
        <w:spacing w:before="99"/>
        <w:ind w:left="6664"/>
        <w:jc w:val="both"/>
        <w:rPr>
          <w:sz w:val="16"/>
        </w:rPr>
      </w:pPr>
      <w:r>
        <w:rPr>
          <w:color w:val="0000FF"/>
          <w:sz w:val="16"/>
        </w:rPr>
        <w:t>Inciso</w:t>
      </w:r>
      <w:r>
        <w:rPr>
          <w:color w:val="0000FF"/>
          <w:spacing w:val="-7"/>
          <w:sz w:val="16"/>
        </w:rPr>
        <w:t xml:space="preserve"> </w:t>
      </w:r>
      <w:r>
        <w:rPr>
          <w:color w:val="0000FF"/>
          <w:sz w:val="16"/>
        </w:rPr>
        <w:t>reformado</w:t>
      </w:r>
      <w:r>
        <w:rPr>
          <w:color w:val="0000FF"/>
          <w:spacing w:val="-7"/>
          <w:sz w:val="16"/>
        </w:rPr>
        <w:t xml:space="preserve"> </w:t>
      </w:r>
      <w:r>
        <w:rPr>
          <w:color w:val="0000FF"/>
          <w:sz w:val="16"/>
        </w:rPr>
        <w:t>DOF</w:t>
      </w:r>
      <w:r>
        <w:rPr>
          <w:color w:val="0000FF"/>
          <w:spacing w:val="-8"/>
          <w:sz w:val="16"/>
        </w:rPr>
        <w:t xml:space="preserve"> </w:t>
      </w:r>
      <w:r>
        <w:rPr>
          <w:color w:val="0000FF"/>
          <w:sz w:val="16"/>
        </w:rPr>
        <w:t>06-10-</w:t>
      </w:r>
      <w:r>
        <w:rPr>
          <w:color w:val="0000FF"/>
          <w:spacing w:val="-4"/>
          <w:sz w:val="16"/>
        </w:rPr>
        <w:t>2014</w:t>
      </w:r>
    </w:p>
    <w:p w:rsidR="00FF0230" w:rsidRDefault="00FF0230">
      <w:pPr>
        <w:jc w:val="both"/>
        <w:rPr>
          <w:sz w:val="16"/>
        </w:rPr>
        <w:sectPr w:rsidR="00FF0230">
          <w:footerReference w:type="default" r:id="rId7"/>
          <w:type w:val="continuous"/>
          <w:pgSz w:w="12240" w:h="15840"/>
          <w:pgMar w:top="1180" w:right="1440" w:bottom="920" w:left="1440" w:header="0" w:footer="732" w:gutter="0"/>
          <w:pgNumType w:start="1"/>
          <w:cols w:space="720"/>
        </w:sectPr>
      </w:pPr>
    </w:p>
    <w:p w:rsidR="00FF0230" w:rsidRDefault="007637B6">
      <w:pPr>
        <w:pStyle w:val="Prrafodelista"/>
        <w:numPr>
          <w:ilvl w:val="1"/>
          <w:numId w:val="1"/>
        </w:numPr>
        <w:tabs>
          <w:tab w:val="left" w:pos="1339"/>
        </w:tabs>
        <w:spacing w:before="72"/>
        <w:ind w:right="0"/>
        <w:rPr>
          <w:sz w:val="18"/>
        </w:rPr>
      </w:pPr>
      <w:r>
        <w:rPr>
          <w:sz w:val="18"/>
        </w:rPr>
        <w:lastRenderedPageBreak/>
        <w:t>Beneficiario:</w:t>
      </w:r>
      <w:r>
        <w:rPr>
          <w:spacing w:val="-7"/>
          <w:sz w:val="18"/>
        </w:rPr>
        <w:t xml:space="preserve"> </w:t>
      </w:r>
      <w:r>
        <w:rPr>
          <w:sz w:val="18"/>
        </w:rPr>
        <w:t>Nombre</w:t>
      </w:r>
      <w:r>
        <w:rPr>
          <w:spacing w:val="-5"/>
          <w:sz w:val="18"/>
        </w:rPr>
        <w:t xml:space="preserve"> </w:t>
      </w:r>
      <w:r>
        <w:rPr>
          <w:sz w:val="18"/>
        </w:rPr>
        <w:t>completo</w:t>
      </w:r>
      <w:r>
        <w:rPr>
          <w:spacing w:val="-5"/>
          <w:sz w:val="18"/>
        </w:rPr>
        <w:t xml:space="preserve"> </w:t>
      </w:r>
      <w:r>
        <w:rPr>
          <w:sz w:val="18"/>
        </w:rPr>
        <w:t>del</w:t>
      </w:r>
      <w:r>
        <w:rPr>
          <w:spacing w:val="-8"/>
          <w:sz w:val="18"/>
        </w:rPr>
        <w:t xml:space="preserve"> </w:t>
      </w:r>
      <w:r>
        <w:rPr>
          <w:spacing w:val="-2"/>
          <w:sz w:val="18"/>
        </w:rPr>
        <w:t>beneficiario.</w:t>
      </w:r>
    </w:p>
    <w:p w:rsidR="00FF0230" w:rsidRDefault="00FF0230">
      <w:pPr>
        <w:pStyle w:val="Textoindependiente"/>
        <w:spacing w:before="25"/>
      </w:pPr>
    </w:p>
    <w:p w:rsidR="00FF0230" w:rsidRDefault="007637B6">
      <w:pPr>
        <w:pStyle w:val="Prrafodelista"/>
        <w:numPr>
          <w:ilvl w:val="1"/>
          <w:numId w:val="1"/>
        </w:numPr>
        <w:tabs>
          <w:tab w:val="left" w:pos="1339"/>
        </w:tabs>
        <w:spacing w:line="391" w:lineRule="auto"/>
        <w:ind w:right="254"/>
        <w:rPr>
          <w:sz w:val="18"/>
        </w:rPr>
      </w:pPr>
      <w:r>
        <w:rPr>
          <w:sz w:val="18"/>
        </w:rPr>
        <w:t>CURP: Clave Única de Registro de Población, cuando el beneficiario de la ayuda o subsidio sea una persona física.</w:t>
      </w:r>
    </w:p>
    <w:p w:rsidR="00FF0230" w:rsidRDefault="007637B6">
      <w:pPr>
        <w:pStyle w:val="Prrafodelista"/>
        <w:numPr>
          <w:ilvl w:val="1"/>
          <w:numId w:val="1"/>
        </w:numPr>
        <w:tabs>
          <w:tab w:val="left" w:pos="1339"/>
        </w:tabs>
        <w:spacing w:before="103" w:line="388" w:lineRule="auto"/>
        <w:ind w:right="257"/>
        <w:rPr>
          <w:sz w:val="18"/>
        </w:rPr>
      </w:pPr>
      <w:r>
        <w:rPr>
          <w:sz w:val="18"/>
        </w:rPr>
        <w:t>RFC: Registro Federal de Contribuyentes con Homoclave cuando el beneficiario de la ayuda o subsidio sea una persona moral o persona física con</w:t>
      </w:r>
      <w:r>
        <w:rPr>
          <w:sz w:val="18"/>
        </w:rPr>
        <w:t xml:space="preserve"> actividad empresarial y profesional.</w:t>
      </w:r>
    </w:p>
    <w:p w:rsidR="00FF0230" w:rsidRDefault="007637B6">
      <w:pPr>
        <w:pStyle w:val="Prrafodelista"/>
        <w:numPr>
          <w:ilvl w:val="1"/>
          <w:numId w:val="1"/>
        </w:numPr>
        <w:tabs>
          <w:tab w:val="left" w:pos="1339"/>
        </w:tabs>
        <w:spacing w:before="104" w:line="391" w:lineRule="auto"/>
        <w:ind w:right="254"/>
        <w:rPr>
          <w:sz w:val="18"/>
        </w:rPr>
      </w:pPr>
      <w:r>
        <w:rPr>
          <w:sz w:val="18"/>
        </w:rPr>
        <w:t>Monto Pagado: Recursos efectivamente pagados al beneficiario del subsidio o ayuda, realizado por medio de transferencia electrónica, cheque, etc.</w:t>
      </w:r>
    </w:p>
    <w:p w:rsidR="00FF0230" w:rsidRDefault="007637B6">
      <w:pPr>
        <w:spacing w:before="100"/>
        <w:ind w:left="6664"/>
        <w:rPr>
          <w:sz w:val="16"/>
        </w:rPr>
      </w:pPr>
      <w:r>
        <w:rPr>
          <w:color w:val="0000FF"/>
          <w:sz w:val="16"/>
        </w:rPr>
        <w:t>Inciso</w:t>
      </w:r>
      <w:r>
        <w:rPr>
          <w:color w:val="0000FF"/>
          <w:spacing w:val="-7"/>
          <w:sz w:val="16"/>
        </w:rPr>
        <w:t xml:space="preserve"> </w:t>
      </w:r>
      <w:r>
        <w:rPr>
          <w:color w:val="0000FF"/>
          <w:sz w:val="16"/>
        </w:rPr>
        <w:t>reformado</w:t>
      </w:r>
      <w:r>
        <w:rPr>
          <w:color w:val="0000FF"/>
          <w:spacing w:val="-7"/>
          <w:sz w:val="16"/>
        </w:rPr>
        <w:t xml:space="preserve"> </w:t>
      </w:r>
      <w:r>
        <w:rPr>
          <w:color w:val="0000FF"/>
          <w:sz w:val="16"/>
        </w:rPr>
        <w:t>DOF</w:t>
      </w:r>
      <w:r>
        <w:rPr>
          <w:color w:val="0000FF"/>
          <w:spacing w:val="-8"/>
          <w:sz w:val="16"/>
        </w:rPr>
        <w:t xml:space="preserve"> </w:t>
      </w:r>
      <w:r>
        <w:rPr>
          <w:color w:val="0000FF"/>
          <w:sz w:val="16"/>
        </w:rPr>
        <w:t>06-10-</w:t>
      </w:r>
      <w:r>
        <w:rPr>
          <w:color w:val="0000FF"/>
          <w:spacing w:val="-4"/>
          <w:sz w:val="16"/>
        </w:rPr>
        <w:t>2014</w:t>
      </w:r>
    </w:p>
    <w:p w:rsidR="00FF0230" w:rsidRDefault="00FF0230">
      <w:pPr>
        <w:pStyle w:val="Textoindependiente"/>
        <w:spacing w:before="45"/>
        <w:rPr>
          <w:sz w:val="16"/>
        </w:rPr>
      </w:pPr>
    </w:p>
    <w:p w:rsidR="00FF0230" w:rsidRDefault="007637B6">
      <w:pPr>
        <w:pStyle w:val="Prrafodelista"/>
        <w:numPr>
          <w:ilvl w:val="1"/>
          <w:numId w:val="1"/>
        </w:numPr>
        <w:tabs>
          <w:tab w:val="left" w:pos="1338"/>
        </w:tabs>
        <w:spacing w:before="1"/>
        <w:ind w:left="1338" w:right="0" w:hanging="359"/>
        <w:rPr>
          <w:sz w:val="18"/>
        </w:rPr>
      </w:pPr>
      <w:r>
        <w:rPr>
          <w:sz w:val="18"/>
        </w:rPr>
        <w:t>Periodicidad:</w:t>
      </w:r>
      <w:r>
        <w:rPr>
          <w:spacing w:val="-7"/>
          <w:sz w:val="18"/>
        </w:rPr>
        <w:t xml:space="preserve"> </w:t>
      </w:r>
      <w:r>
        <w:rPr>
          <w:sz w:val="18"/>
        </w:rPr>
        <w:t>La</w:t>
      </w:r>
      <w:r>
        <w:rPr>
          <w:spacing w:val="-6"/>
          <w:sz w:val="18"/>
        </w:rPr>
        <w:t xml:space="preserve"> </w:t>
      </w:r>
      <w:r>
        <w:rPr>
          <w:sz w:val="18"/>
        </w:rPr>
        <w:t>información</w:t>
      </w:r>
      <w:r>
        <w:rPr>
          <w:spacing w:val="-3"/>
          <w:sz w:val="18"/>
        </w:rPr>
        <w:t xml:space="preserve"> </w:t>
      </w:r>
      <w:r>
        <w:rPr>
          <w:sz w:val="18"/>
        </w:rPr>
        <w:t>corresponde</w:t>
      </w:r>
      <w:r>
        <w:rPr>
          <w:spacing w:val="-4"/>
          <w:sz w:val="18"/>
        </w:rPr>
        <w:t xml:space="preserve"> </w:t>
      </w:r>
      <w:r>
        <w:rPr>
          <w:sz w:val="18"/>
        </w:rPr>
        <w:t>al</w:t>
      </w:r>
      <w:r>
        <w:rPr>
          <w:spacing w:val="-6"/>
          <w:sz w:val="18"/>
        </w:rPr>
        <w:t xml:space="preserve"> </w:t>
      </w:r>
      <w:r>
        <w:rPr>
          <w:sz w:val="18"/>
        </w:rPr>
        <w:t>trimestre</w:t>
      </w:r>
      <w:r>
        <w:rPr>
          <w:spacing w:val="-3"/>
          <w:sz w:val="18"/>
        </w:rPr>
        <w:t xml:space="preserve"> </w:t>
      </w:r>
      <w:r>
        <w:rPr>
          <w:sz w:val="18"/>
        </w:rPr>
        <w:t>que</w:t>
      </w:r>
      <w:r>
        <w:rPr>
          <w:spacing w:val="-3"/>
          <w:sz w:val="18"/>
        </w:rPr>
        <w:t xml:space="preserve"> </w:t>
      </w:r>
      <w:r>
        <w:rPr>
          <w:sz w:val="18"/>
        </w:rPr>
        <w:t>se</w:t>
      </w:r>
      <w:r>
        <w:rPr>
          <w:spacing w:val="-6"/>
          <w:sz w:val="18"/>
        </w:rPr>
        <w:t xml:space="preserve"> </w:t>
      </w:r>
      <w:r>
        <w:rPr>
          <w:spacing w:val="-2"/>
          <w:sz w:val="18"/>
        </w:rPr>
        <w:t>reporta.</w:t>
      </w:r>
    </w:p>
    <w:p w:rsidR="00FF0230" w:rsidRDefault="00FF0230">
      <w:pPr>
        <w:pStyle w:val="Textoindependiente"/>
        <w:spacing w:before="19"/>
      </w:pPr>
    </w:p>
    <w:p w:rsidR="00FF0230" w:rsidRDefault="007637B6">
      <w:pPr>
        <w:spacing w:before="1"/>
        <w:ind w:left="6664"/>
        <w:rPr>
          <w:sz w:val="16"/>
        </w:rPr>
      </w:pPr>
      <w:r>
        <w:rPr>
          <w:color w:val="0000FF"/>
          <w:sz w:val="16"/>
        </w:rPr>
        <w:t>Inciso</w:t>
      </w:r>
      <w:r>
        <w:rPr>
          <w:color w:val="0000FF"/>
          <w:spacing w:val="-7"/>
          <w:sz w:val="16"/>
        </w:rPr>
        <w:t xml:space="preserve"> </w:t>
      </w:r>
      <w:r>
        <w:rPr>
          <w:color w:val="0000FF"/>
          <w:sz w:val="16"/>
        </w:rPr>
        <w:t>reformado</w:t>
      </w:r>
      <w:r>
        <w:rPr>
          <w:color w:val="0000FF"/>
          <w:spacing w:val="-7"/>
          <w:sz w:val="16"/>
        </w:rPr>
        <w:t xml:space="preserve"> </w:t>
      </w:r>
      <w:r>
        <w:rPr>
          <w:color w:val="0000FF"/>
          <w:sz w:val="16"/>
        </w:rPr>
        <w:t>DOF</w:t>
      </w:r>
      <w:r>
        <w:rPr>
          <w:color w:val="0000FF"/>
          <w:spacing w:val="-8"/>
          <w:sz w:val="16"/>
        </w:rPr>
        <w:t xml:space="preserve"> </w:t>
      </w:r>
      <w:r>
        <w:rPr>
          <w:color w:val="0000FF"/>
          <w:sz w:val="16"/>
        </w:rPr>
        <w:t>06-10-</w:t>
      </w:r>
      <w:r>
        <w:rPr>
          <w:color w:val="0000FF"/>
          <w:spacing w:val="-4"/>
          <w:sz w:val="16"/>
        </w:rPr>
        <w:t>2014</w:t>
      </w:r>
    </w:p>
    <w:p w:rsidR="00FF0230" w:rsidRDefault="007637B6">
      <w:pPr>
        <w:pStyle w:val="Prrafodelista"/>
        <w:numPr>
          <w:ilvl w:val="0"/>
          <w:numId w:val="1"/>
        </w:numPr>
        <w:tabs>
          <w:tab w:val="left" w:pos="979"/>
        </w:tabs>
        <w:spacing w:before="152" w:line="276" w:lineRule="auto"/>
        <w:rPr>
          <w:sz w:val="18"/>
        </w:rPr>
      </w:pPr>
      <w:r>
        <w:rPr>
          <w:sz w:val="18"/>
        </w:rPr>
        <w:t>Para</w:t>
      </w:r>
      <w:r>
        <w:rPr>
          <w:spacing w:val="72"/>
          <w:sz w:val="18"/>
        </w:rPr>
        <w:t xml:space="preserve"> </w:t>
      </w:r>
      <w:r>
        <w:rPr>
          <w:sz w:val="18"/>
        </w:rPr>
        <w:t>la</w:t>
      </w:r>
      <w:r>
        <w:rPr>
          <w:spacing w:val="72"/>
          <w:sz w:val="18"/>
        </w:rPr>
        <w:t xml:space="preserve"> </w:t>
      </w:r>
      <w:r>
        <w:rPr>
          <w:sz w:val="18"/>
        </w:rPr>
        <w:t>estructura</w:t>
      </w:r>
      <w:r>
        <w:rPr>
          <w:spacing w:val="70"/>
          <w:sz w:val="18"/>
        </w:rPr>
        <w:t xml:space="preserve"> </w:t>
      </w:r>
      <w:r>
        <w:rPr>
          <w:sz w:val="18"/>
        </w:rPr>
        <w:t>de</w:t>
      </w:r>
      <w:r>
        <w:rPr>
          <w:spacing w:val="70"/>
          <w:sz w:val="18"/>
        </w:rPr>
        <w:t xml:space="preserve"> </w:t>
      </w:r>
      <w:r>
        <w:rPr>
          <w:sz w:val="18"/>
        </w:rPr>
        <w:t>la</w:t>
      </w:r>
      <w:r>
        <w:rPr>
          <w:spacing w:val="70"/>
          <w:sz w:val="18"/>
        </w:rPr>
        <w:t xml:space="preserve"> </w:t>
      </w:r>
      <w:r>
        <w:rPr>
          <w:sz w:val="18"/>
        </w:rPr>
        <w:t>información</w:t>
      </w:r>
      <w:r>
        <w:rPr>
          <w:spacing w:val="72"/>
          <w:sz w:val="18"/>
        </w:rPr>
        <w:t xml:space="preserve"> </w:t>
      </w:r>
      <w:r>
        <w:rPr>
          <w:sz w:val="18"/>
        </w:rPr>
        <w:t>de</w:t>
      </w:r>
      <w:r>
        <w:rPr>
          <w:spacing w:val="72"/>
          <w:sz w:val="18"/>
        </w:rPr>
        <w:t xml:space="preserve"> </w:t>
      </w:r>
      <w:r>
        <w:rPr>
          <w:sz w:val="18"/>
        </w:rPr>
        <w:t>los</w:t>
      </w:r>
      <w:r>
        <w:rPr>
          <w:spacing w:val="70"/>
          <w:sz w:val="18"/>
        </w:rPr>
        <w:t xml:space="preserve"> </w:t>
      </w:r>
      <w:r>
        <w:rPr>
          <w:sz w:val="18"/>
        </w:rPr>
        <w:t>montos</w:t>
      </w:r>
      <w:r>
        <w:rPr>
          <w:spacing w:val="72"/>
          <w:sz w:val="18"/>
        </w:rPr>
        <w:t xml:space="preserve"> </w:t>
      </w:r>
      <w:r>
        <w:rPr>
          <w:sz w:val="18"/>
        </w:rPr>
        <w:t>pagados</w:t>
      </w:r>
      <w:r>
        <w:rPr>
          <w:spacing w:val="70"/>
          <w:sz w:val="18"/>
        </w:rPr>
        <w:t xml:space="preserve"> </w:t>
      </w:r>
      <w:r>
        <w:rPr>
          <w:sz w:val="18"/>
        </w:rPr>
        <w:t>por</w:t>
      </w:r>
      <w:r>
        <w:rPr>
          <w:spacing w:val="69"/>
          <w:sz w:val="18"/>
        </w:rPr>
        <w:t xml:space="preserve"> </w:t>
      </w:r>
      <w:r>
        <w:rPr>
          <w:sz w:val="18"/>
        </w:rPr>
        <w:t>ayudas</w:t>
      </w:r>
      <w:r>
        <w:rPr>
          <w:spacing w:val="70"/>
          <w:sz w:val="18"/>
        </w:rPr>
        <w:t xml:space="preserve"> </w:t>
      </w:r>
      <w:r>
        <w:rPr>
          <w:sz w:val="18"/>
        </w:rPr>
        <w:t>y</w:t>
      </w:r>
      <w:r>
        <w:rPr>
          <w:spacing w:val="70"/>
          <w:sz w:val="18"/>
        </w:rPr>
        <w:t xml:space="preserve"> </w:t>
      </w:r>
      <w:r>
        <w:rPr>
          <w:sz w:val="18"/>
        </w:rPr>
        <w:t>subsidios</w:t>
      </w:r>
      <w:r>
        <w:rPr>
          <w:spacing w:val="70"/>
          <w:sz w:val="18"/>
        </w:rPr>
        <w:t xml:space="preserve"> </w:t>
      </w:r>
      <w:r>
        <w:rPr>
          <w:sz w:val="18"/>
        </w:rPr>
        <w:t>y</w:t>
      </w:r>
      <w:r>
        <w:rPr>
          <w:spacing w:val="70"/>
          <w:sz w:val="18"/>
        </w:rPr>
        <w:t xml:space="preserve"> </w:t>
      </w:r>
      <w:r>
        <w:rPr>
          <w:sz w:val="18"/>
        </w:rPr>
        <w:t>su presentación, los entes obligados deberán observar el modelo de formato siguiente:</w:t>
      </w:r>
    </w:p>
    <w:p w:rsidR="00FF0230" w:rsidRDefault="00FF0230">
      <w:pPr>
        <w:pStyle w:val="Textoindependiente"/>
        <w:spacing w:before="171"/>
        <w:rPr>
          <w:sz w:val="20"/>
        </w:rPr>
      </w:pPr>
    </w:p>
    <w:tbl>
      <w:tblPr>
        <w:tblStyle w:val="TableNormal"/>
        <w:tblW w:w="0" w:type="auto"/>
        <w:tblInd w:w="34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77"/>
        <w:gridCol w:w="1030"/>
        <w:gridCol w:w="1032"/>
        <w:gridCol w:w="1538"/>
        <w:gridCol w:w="1032"/>
        <w:gridCol w:w="1032"/>
        <w:gridCol w:w="809"/>
        <w:gridCol w:w="996"/>
      </w:tblGrid>
      <w:tr w:rsidR="00FF0230">
        <w:trPr>
          <w:trHeight w:val="990"/>
        </w:trPr>
        <w:tc>
          <w:tcPr>
            <w:tcW w:w="8746" w:type="dxa"/>
            <w:gridSpan w:val="8"/>
          </w:tcPr>
          <w:p w:rsidR="00FF0230" w:rsidRDefault="007637B6">
            <w:pPr>
              <w:pStyle w:val="TableParagraph"/>
              <w:spacing w:before="58"/>
              <w:ind w:left="2922" w:right="2911"/>
              <w:jc w:val="center"/>
              <w:rPr>
                <w:sz w:val="14"/>
              </w:rPr>
            </w:pPr>
            <w:r>
              <w:rPr>
                <w:sz w:val="14"/>
              </w:rPr>
              <w:t>Ente</w:t>
            </w:r>
            <w:r>
              <w:rPr>
                <w:spacing w:val="-7"/>
                <w:sz w:val="14"/>
              </w:rPr>
              <w:t xml:space="preserve"> </w:t>
            </w:r>
            <w:r>
              <w:rPr>
                <w:spacing w:val="-2"/>
                <w:sz w:val="14"/>
              </w:rPr>
              <w:t>Público:</w:t>
            </w:r>
          </w:p>
          <w:p w:rsidR="00FF0230" w:rsidRDefault="007637B6">
            <w:pPr>
              <w:pStyle w:val="TableParagraph"/>
              <w:spacing w:before="1" w:line="330" w:lineRule="atLeast"/>
              <w:ind w:left="2922" w:right="2907"/>
              <w:jc w:val="center"/>
              <w:rPr>
                <w:sz w:val="14"/>
              </w:rPr>
            </w:pPr>
            <w:r>
              <w:rPr>
                <w:sz w:val="14"/>
              </w:rPr>
              <w:t>Montos</w:t>
            </w:r>
            <w:r>
              <w:rPr>
                <w:spacing w:val="-8"/>
                <w:sz w:val="14"/>
              </w:rPr>
              <w:t xml:space="preserve"> </w:t>
            </w:r>
            <w:r>
              <w:rPr>
                <w:sz w:val="14"/>
              </w:rPr>
              <w:t>pagados</w:t>
            </w:r>
            <w:r>
              <w:rPr>
                <w:spacing w:val="-8"/>
                <w:sz w:val="14"/>
              </w:rPr>
              <w:t xml:space="preserve"> </w:t>
            </w:r>
            <w:r>
              <w:rPr>
                <w:sz w:val="14"/>
              </w:rPr>
              <w:t>por</w:t>
            </w:r>
            <w:r>
              <w:rPr>
                <w:spacing w:val="-8"/>
                <w:sz w:val="14"/>
              </w:rPr>
              <w:t xml:space="preserve"> </w:t>
            </w:r>
            <w:r>
              <w:rPr>
                <w:sz w:val="14"/>
              </w:rPr>
              <w:t>ayudas</w:t>
            </w:r>
            <w:r>
              <w:rPr>
                <w:spacing w:val="-5"/>
                <w:sz w:val="14"/>
              </w:rPr>
              <w:t xml:space="preserve"> </w:t>
            </w:r>
            <w:r>
              <w:rPr>
                <w:sz w:val="14"/>
              </w:rPr>
              <w:t>y</w:t>
            </w:r>
            <w:r>
              <w:rPr>
                <w:spacing w:val="-10"/>
                <w:sz w:val="14"/>
              </w:rPr>
              <w:t xml:space="preserve"> </w:t>
            </w:r>
            <w:r>
              <w:rPr>
                <w:sz w:val="14"/>
              </w:rPr>
              <w:t>subsidios</w:t>
            </w:r>
            <w:r>
              <w:rPr>
                <w:spacing w:val="40"/>
                <w:sz w:val="14"/>
              </w:rPr>
              <w:t xml:space="preserve"> </w:t>
            </w:r>
            <w:r>
              <w:rPr>
                <w:sz w:val="14"/>
              </w:rPr>
              <w:t>Periodo</w:t>
            </w:r>
            <w:r>
              <w:rPr>
                <w:spacing w:val="-4"/>
                <w:sz w:val="14"/>
              </w:rPr>
              <w:t xml:space="preserve"> </w:t>
            </w:r>
            <w:r>
              <w:rPr>
                <w:sz w:val="14"/>
              </w:rPr>
              <w:t>(trimestre</w:t>
            </w:r>
            <w:r>
              <w:rPr>
                <w:spacing w:val="-4"/>
                <w:sz w:val="14"/>
              </w:rPr>
              <w:t xml:space="preserve"> </w:t>
            </w:r>
            <w:r>
              <w:rPr>
                <w:sz w:val="14"/>
              </w:rPr>
              <w:t>XXXX</w:t>
            </w:r>
            <w:r>
              <w:rPr>
                <w:spacing w:val="-5"/>
                <w:sz w:val="14"/>
              </w:rPr>
              <w:t xml:space="preserve"> </w:t>
            </w:r>
            <w:r>
              <w:rPr>
                <w:sz w:val="14"/>
              </w:rPr>
              <w:t>del</w:t>
            </w:r>
            <w:r>
              <w:rPr>
                <w:spacing w:val="-5"/>
                <w:sz w:val="14"/>
              </w:rPr>
              <w:t xml:space="preserve"> </w:t>
            </w:r>
            <w:r>
              <w:rPr>
                <w:sz w:val="14"/>
              </w:rPr>
              <w:t>año</w:t>
            </w:r>
            <w:r>
              <w:rPr>
                <w:spacing w:val="-4"/>
                <w:sz w:val="14"/>
              </w:rPr>
              <w:t xml:space="preserve"> XXXX)</w:t>
            </w:r>
          </w:p>
        </w:tc>
      </w:tr>
      <w:tr w:rsidR="00FF0230">
        <w:trPr>
          <w:trHeight w:val="568"/>
        </w:trPr>
        <w:tc>
          <w:tcPr>
            <w:tcW w:w="1277" w:type="dxa"/>
          </w:tcPr>
          <w:p w:rsidR="00FF0230" w:rsidRDefault="00FF0230">
            <w:pPr>
              <w:pStyle w:val="TableParagraph"/>
              <w:spacing w:before="17"/>
              <w:rPr>
                <w:sz w:val="14"/>
              </w:rPr>
            </w:pPr>
          </w:p>
          <w:p w:rsidR="00FF0230" w:rsidRDefault="007637B6">
            <w:pPr>
              <w:pStyle w:val="TableParagraph"/>
              <w:ind w:left="335"/>
              <w:rPr>
                <w:sz w:val="14"/>
              </w:rPr>
            </w:pPr>
            <w:r>
              <w:rPr>
                <w:spacing w:val="-2"/>
                <w:sz w:val="14"/>
              </w:rPr>
              <w:t>Concepto</w:t>
            </w:r>
          </w:p>
        </w:tc>
        <w:tc>
          <w:tcPr>
            <w:tcW w:w="1030" w:type="dxa"/>
          </w:tcPr>
          <w:p w:rsidR="00FF0230" w:rsidRDefault="00FF0230">
            <w:pPr>
              <w:pStyle w:val="TableParagraph"/>
              <w:spacing w:before="17"/>
              <w:rPr>
                <w:sz w:val="14"/>
              </w:rPr>
            </w:pPr>
          </w:p>
          <w:p w:rsidR="00FF0230" w:rsidRDefault="007637B6">
            <w:pPr>
              <w:pStyle w:val="TableParagraph"/>
              <w:ind w:left="256"/>
              <w:rPr>
                <w:sz w:val="14"/>
              </w:rPr>
            </w:pPr>
            <w:r>
              <w:rPr>
                <w:sz w:val="14"/>
              </w:rPr>
              <w:t>Ayuda</w:t>
            </w:r>
            <w:r>
              <w:rPr>
                <w:spacing w:val="-5"/>
                <w:sz w:val="14"/>
              </w:rPr>
              <w:t xml:space="preserve"> </w:t>
            </w:r>
            <w:r>
              <w:rPr>
                <w:spacing w:val="-10"/>
                <w:sz w:val="14"/>
              </w:rPr>
              <w:t>a</w:t>
            </w:r>
          </w:p>
        </w:tc>
        <w:tc>
          <w:tcPr>
            <w:tcW w:w="1032" w:type="dxa"/>
          </w:tcPr>
          <w:p w:rsidR="00FF0230" w:rsidRDefault="00FF0230">
            <w:pPr>
              <w:pStyle w:val="TableParagraph"/>
              <w:spacing w:before="17"/>
              <w:rPr>
                <w:sz w:val="14"/>
              </w:rPr>
            </w:pPr>
          </w:p>
          <w:p w:rsidR="00FF0230" w:rsidRDefault="007637B6">
            <w:pPr>
              <w:pStyle w:val="TableParagraph"/>
              <w:ind w:left="246"/>
              <w:rPr>
                <w:sz w:val="14"/>
              </w:rPr>
            </w:pPr>
            <w:r>
              <w:rPr>
                <w:spacing w:val="-2"/>
                <w:sz w:val="14"/>
              </w:rPr>
              <w:t>Subsidio</w:t>
            </w:r>
          </w:p>
        </w:tc>
        <w:tc>
          <w:tcPr>
            <w:tcW w:w="1538" w:type="dxa"/>
          </w:tcPr>
          <w:p w:rsidR="00FF0230" w:rsidRDefault="007637B6">
            <w:pPr>
              <w:pStyle w:val="TableParagraph"/>
              <w:spacing w:before="60" w:line="355" w:lineRule="auto"/>
              <w:ind w:left="563" w:right="112" w:hanging="437"/>
              <w:rPr>
                <w:sz w:val="14"/>
              </w:rPr>
            </w:pPr>
            <w:r>
              <w:rPr>
                <w:sz w:val="14"/>
              </w:rPr>
              <w:t>Sector</w:t>
            </w:r>
            <w:r>
              <w:rPr>
                <w:spacing w:val="-10"/>
                <w:sz w:val="14"/>
              </w:rPr>
              <w:t xml:space="preserve"> </w:t>
            </w:r>
            <w:r>
              <w:rPr>
                <w:sz w:val="14"/>
              </w:rPr>
              <w:t>(económico</w:t>
            </w:r>
            <w:r>
              <w:rPr>
                <w:spacing w:val="-10"/>
                <w:sz w:val="14"/>
              </w:rPr>
              <w:t xml:space="preserve"> </w:t>
            </w:r>
            <w:r>
              <w:rPr>
                <w:sz w:val="14"/>
              </w:rPr>
              <w:t>o</w:t>
            </w:r>
            <w:r>
              <w:rPr>
                <w:spacing w:val="40"/>
                <w:sz w:val="14"/>
              </w:rPr>
              <w:t xml:space="preserve"> </w:t>
            </w:r>
            <w:r>
              <w:rPr>
                <w:spacing w:val="-2"/>
                <w:sz w:val="14"/>
              </w:rPr>
              <w:t>social)</w:t>
            </w:r>
          </w:p>
        </w:tc>
        <w:tc>
          <w:tcPr>
            <w:tcW w:w="1032" w:type="dxa"/>
          </w:tcPr>
          <w:p w:rsidR="00FF0230" w:rsidRDefault="00FF0230">
            <w:pPr>
              <w:pStyle w:val="TableParagraph"/>
              <w:spacing w:before="17"/>
              <w:rPr>
                <w:sz w:val="14"/>
              </w:rPr>
            </w:pPr>
          </w:p>
          <w:p w:rsidR="00FF0230" w:rsidRDefault="007637B6">
            <w:pPr>
              <w:pStyle w:val="TableParagraph"/>
              <w:ind w:left="148"/>
              <w:rPr>
                <w:sz w:val="14"/>
              </w:rPr>
            </w:pPr>
            <w:r>
              <w:rPr>
                <w:spacing w:val="-2"/>
                <w:sz w:val="14"/>
              </w:rPr>
              <w:t>Beneficiario</w:t>
            </w:r>
          </w:p>
        </w:tc>
        <w:tc>
          <w:tcPr>
            <w:tcW w:w="1032" w:type="dxa"/>
          </w:tcPr>
          <w:p w:rsidR="00FF0230" w:rsidRDefault="00FF0230">
            <w:pPr>
              <w:pStyle w:val="TableParagraph"/>
              <w:spacing w:before="17"/>
              <w:rPr>
                <w:sz w:val="14"/>
              </w:rPr>
            </w:pPr>
          </w:p>
          <w:p w:rsidR="00FF0230" w:rsidRDefault="007637B6">
            <w:pPr>
              <w:pStyle w:val="TableParagraph"/>
              <w:ind w:left="316"/>
              <w:rPr>
                <w:sz w:val="14"/>
              </w:rPr>
            </w:pPr>
            <w:r>
              <w:rPr>
                <w:spacing w:val="-4"/>
                <w:sz w:val="14"/>
              </w:rPr>
              <w:t>CURP</w:t>
            </w:r>
          </w:p>
        </w:tc>
        <w:tc>
          <w:tcPr>
            <w:tcW w:w="809" w:type="dxa"/>
          </w:tcPr>
          <w:p w:rsidR="00FF0230" w:rsidRDefault="00FF0230">
            <w:pPr>
              <w:pStyle w:val="TableParagraph"/>
              <w:spacing w:before="17"/>
              <w:rPr>
                <w:sz w:val="14"/>
              </w:rPr>
            </w:pPr>
          </w:p>
          <w:p w:rsidR="00FF0230" w:rsidRDefault="007637B6">
            <w:pPr>
              <w:pStyle w:val="TableParagraph"/>
              <w:ind w:left="258"/>
              <w:rPr>
                <w:sz w:val="14"/>
              </w:rPr>
            </w:pPr>
            <w:r>
              <w:rPr>
                <w:spacing w:val="-5"/>
                <w:sz w:val="14"/>
              </w:rPr>
              <w:t>RFC</w:t>
            </w:r>
          </w:p>
        </w:tc>
        <w:tc>
          <w:tcPr>
            <w:tcW w:w="996" w:type="dxa"/>
          </w:tcPr>
          <w:p w:rsidR="00FF0230" w:rsidRDefault="007637B6">
            <w:pPr>
              <w:pStyle w:val="TableParagraph"/>
              <w:spacing w:before="60" w:line="355" w:lineRule="auto"/>
              <w:ind w:left="256" w:right="242" w:firstLine="48"/>
              <w:rPr>
                <w:sz w:val="14"/>
              </w:rPr>
            </w:pPr>
            <w:r>
              <w:rPr>
                <w:spacing w:val="-2"/>
                <w:sz w:val="14"/>
              </w:rPr>
              <w:t>Monto</w:t>
            </w:r>
            <w:r>
              <w:rPr>
                <w:spacing w:val="40"/>
                <w:sz w:val="14"/>
              </w:rPr>
              <w:t xml:space="preserve"> </w:t>
            </w:r>
            <w:r>
              <w:rPr>
                <w:spacing w:val="-2"/>
                <w:sz w:val="14"/>
              </w:rPr>
              <w:t>Pagado</w:t>
            </w:r>
          </w:p>
        </w:tc>
      </w:tr>
      <w:tr w:rsidR="00FF0230">
        <w:trPr>
          <w:trHeight w:val="330"/>
        </w:trPr>
        <w:tc>
          <w:tcPr>
            <w:tcW w:w="1277" w:type="dxa"/>
          </w:tcPr>
          <w:p w:rsidR="00FF0230" w:rsidRDefault="00FF0230">
            <w:pPr>
              <w:pStyle w:val="TableParagraph"/>
              <w:rPr>
                <w:rFonts w:ascii="Times New Roman"/>
                <w:sz w:val="16"/>
              </w:rPr>
            </w:pPr>
          </w:p>
        </w:tc>
        <w:tc>
          <w:tcPr>
            <w:tcW w:w="1030" w:type="dxa"/>
          </w:tcPr>
          <w:p w:rsidR="00FF0230" w:rsidRDefault="00FF0230">
            <w:pPr>
              <w:pStyle w:val="TableParagraph"/>
              <w:rPr>
                <w:rFonts w:ascii="Times New Roman"/>
                <w:sz w:val="16"/>
              </w:rPr>
            </w:pPr>
          </w:p>
        </w:tc>
        <w:tc>
          <w:tcPr>
            <w:tcW w:w="1032" w:type="dxa"/>
          </w:tcPr>
          <w:p w:rsidR="00FF0230" w:rsidRDefault="00FF0230">
            <w:pPr>
              <w:pStyle w:val="TableParagraph"/>
              <w:rPr>
                <w:rFonts w:ascii="Times New Roman"/>
                <w:sz w:val="16"/>
              </w:rPr>
            </w:pPr>
          </w:p>
        </w:tc>
        <w:tc>
          <w:tcPr>
            <w:tcW w:w="1538" w:type="dxa"/>
          </w:tcPr>
          <w:p w:rsidR="00FF0230" w:rsidRDefault="00FF0230">
            <w:pPr>
              <w:pStyle w:val="TableParagraph"/>
              <w:rPr>
                <w:rFonts w:ascii="Times New Roman"/>
                <w:sz w:val="16"/>
              </w:rPr>
            </w:pPr>
          </w:p>
        </w:tc>
        <w:tc>
          <w:tcPr>
            <w:tcW w:w="1032" w:type="dxa"/>
          </w:tcPr>
          <w:p w:rsidR="00FF0230" w:rsidRDefault="00FF0230">
            <w:pPr>
              <w:pStyle w:val="TableParagraph"/>
              <w:rPr>
                <w:rFonts w:ascii="Times New Roman"/>
                <w:sz w:val="16"/>
              </w:rPr>
            </w:pPr>
          </w:p>
        </w:tc>
        <w:tc>
          <w:tcPr>
            <w:tcW w:w="1032" w:type="dxa"/>
          </w:tcPr>
          <w:p w:rsidR="00FF0230" w:rsidRDefault="00FF0230">
            <w:pPr>
              <w:pStyle w:val="TableParagraph"/>
              <w:rPr>
                <w:rFonts w:ascii="Times New Roman"/>
                <w:sz w:val="16"/>
              </w:rPr>
            </w:pPr>
          </w:p>
        </w:tc>
        <w:tc>
          <w:tcPr>
            <w:tcW w:w="809" w:type="dxa"/>
          </w:tcPr>
          <w:p w:rsidR="00FF0230" w:rsidRDefault="00FF0230">
            <w:pPr>
              <w:pStyle w:val="TableParagraph"/>
              <w:rPr>
                <w:rFonts w:ascii="Times New Roman"/>
                <w:sz w:val="16"/>
              </w:rPr>
            </w:pPr>
          </w:p>
        </w:tc>
        <w:tc>
          <w:tcPr>
            <w:tcW w:w="996" w:type="dxa"/>
          </w:tcPr>
          <w:p w:rsidR="00FF0230" w:rsidRDefault="00FF0230">
            <w:pPr>
              <w:pStyle w:val="TableParagraph"/>
              <w:rPr>
                <w:rFonts w:ascii="Times New Roman"/>
                <w:sz w:val="16"/>
              </w:rPr>
            </w:pPr>
          </w:p>
        </w:tc>
      </w:tr>
      <w:tr w:rsidR="00FF0230">
        <w:trPr>
          <w:trHeight w:val="330"/>
        </w:trPr>
        <w:tc>
          <w:tcPr>
            <w:tcW w:w="1277" w:type="dxa"/>
          </w:tcPr>
          <w:p w:rsidR="00FF0230" w:rsidRDefault="00FF0230">
            <w:pPr>
              <w:pStyle w:val="TableParagraph"/>
              <w:rPr>
                <w:rFonts w:ascii="Times New Roman"/>
                <w:sz w:val="16"/>
              </w:rPr>
            </w:pPr>
          </w:p>
        </w:tc>
        <w:tc>
          <w:tcPr>
            <w:tcW w:w="1030" w:type="dxa"/>
          </w:tcPr>
          <w:p w:rsidR="00FF0230" w:rsidRDefault="00FF0230">
            <w:pPr>
              <w:pStyle w:val="TableParagraph"/>
              <w:rPr>
                <w:rFonts w:ascii="Times New Roman"/>
                <w:sz w:val="16"/>
              </w:rPr>
            </w:pPr>
          </w:p>
        </w:tc>
        <w:tc>
          <w:tcPr>
            <w:tcW w:w="1032" w:type="dxa"/>
          </w:tcPr>
          <w:p w:rsidR="00FF0230" w:rsidRDefault="00FF0230">
            <w:pPr>
              <w:pStyle w:val="TableParagraph"/>
              <w:rPr>
                <w:rFonts w:ascii="Times New Roman"/>
                <w:sz w:val="16"/>
              </w:rPr>
            </w:pPr>
          </w:p>
        </w:tc>
        <w:tc>
          <w:tcPr>
            <w:tcW w:w="1538" w:type="dxa"/>
          </w:tcPr>
          <w:p w:rsidR="00FF0230" w:rsidRDefault="00FF0230">
            <w:pPr>
              <w:pStyle w:val="TableParagraph"/>
              <w:rPr>
                <w:rFonts w:ascii="Times New Roman"/>
                <w:sz w:val="16"/>
              </w:rPr>
            </w:pPr>
          </w:p>
        </w:tc>
        <w:tc>
          <w:tcPr>
            <w:tcW w:w="1032" w:type="dxa"/>
          </w:tcPr>
          <w:p w:rsidR="00FF0230" w:rsidRDefault="00FF0230">
            <w:pPr>
              <w:pStyle w:val="TableParagraph"/>
              <w:rPr>
                <w:rFonts w:ascii="Times New Roman"/>
                <w:sz w:val="16"/>
              </w:rPr>
            </w:pPr>
          </w:p>
        </w:tc>
        <w:tc>
          <w:tcPr>
            <w:tcW w:w="1032" w:type="dxa"/>
          </w:tcPr>
          <w:p w:rsidR="00FF0230" w:rsidRDefault="00FF0230">
            <w:pPr>
              <w:pStyle w:val="TableParagraph"/>
              <w:rPr>
                <w:rFonts w:ascii="Times New Roman"/>
                <w:sz w:val="16"/>
              </w:rPr>
            </w:pPr>
          </w:p>
        </w:tc>
        <w:tc>
          <w:tcPr>
            <w:tcW w:w="809" w:type="dxa"/>
          </w:tcPr>
          <w:p w:rsidR="00FF0230" w:rsidRDefault="00FF0230">
            <w:pPr>
              <w:pStyle w:val="TableParagraph"/>
              <w:rPr>
                <w:rFonts w:ascii="Times New Roman"/>
                <w:sz w:val="16"/>
              </w:rPr>
            </w:pPr>
          </w:p>
        </w:tc>
        <w:tc>
          <w:tcPr>
            <w:tcW w:w="996" w:type="dxa"/>
          </w:tcPr>
          <w:p w:rsidR="00FF0230" w:rsidRDefault="00FF0230">
            <w:pPr>
              <w:pStyle w:val="TableParagraph"/>
              <w:rPr>
                <w:rFonts w:ascii="Times New Roman"/>
                <w:sz w:val="16"/>
              </w:rPr>
            </w:pPr>
          </w:p>
        </w:tc>
      </w:tr>
      <w:tr w:rsidR="00FF0230">
        <w:trPr>
          <w:trHeight w:val="330"/>
        </w:trPr>
        <w:tc>
          <w:tcPr>
            <w:tcW w:w="1277" w:type="dxa"/>
          </w:tcPr>
          <w:p w:rsidR="00FF0230" w:rsidRDefault="00FF0230">
            <w:pPr>
              <w:pStyle w:val="TableParagraph"/>
              <w:rPr>
                <w:rFonts w:ascii="Times New Roman"/>
                <w:sz w:val="16"/>
              </w:rPr>
            </w:pPr>
          </w:p>
        </w:tc>
        <w:tc>
          <w:tcPr>
            <w:tcW w:w="1030" w:type="dxa"/>
          </w:tcPr>
          <w:p w:rsidR="00FF0230" w:rsidRDefault="00FF0230">
            <w:pPr>
              <w:pStyle w:val="TableParagraph"/>
              <w:rPr>
                <w:rFonts w:ascii="Times New Roman"/>
                <w:sz w:val="16"/>
              </w:rPr>
            </w:pPr>
          </w:p>
        </w:tc>
        <w:tc>
          <w:tcPr>
            <w:tcW w:w="1032" w:type="dxa"/>
          </w:tcPr>
          <w:p w:rsidR="00FF0230" w:rsidRDefault="00FF0230">
            <w:pPr>
              <w:pStyle w:val="TableParagraph"/>
              <w:rPr>
                <w:rFonts w:ascii="Times New Roman"/>
                <w:sz w:val="16"/>
              </w:rPr>
            </w:pPr>
          </w:p>
        </w:tc>
        <w:tc>
          <w:tcPr>
            <w:tcW w:w="1538" w:type="dxa"/>
          </w:tcPr>
          <w:p w:rsidR="00FF0230" w:rsidRDefault="00FF0230">
            <w:pPr>
              <w:pStyle w:val="TableParagraph"/>
              <w:rPr>
                <w:rFonts w:ascii="Times New Roman"/>
                <w:sz w:val="16"/>
              </w:rPr>
            </w:pPr>
          </w:p>
        </w:tc>
        <w:tc>
          <w:tcPr>
            <w:tcW w:w="1032" w:type="dxa"/>
          </w:tcPr>
          <w:p w:rsidR="00FF0230" w:rsidRDefault="00FF0230">
            <w:pPr>
              <w:pStyle w:val="TableParagraph"/>
              <w:rPr>
                <w:rFonts w:ascii="Times New Roman"/>
                <w:sz w:val="16"/>
              </w:rPr>
            </w:pPr>
          </w:p>
        </w:tc>
        <w:tc>
          <w:tcPr>
            <w:tcW w:w="1032" w:type="dxa"/>
          </w:tcPr>
          <w:p w:rsidR="00FF0230" w:rsidRDefault="00FF0230">
            <w:pPr>
              <w:pStyle w:val="TableParagraph"/>
              <w:rPr>
                <w:rFonts w:ascii="Times New Roman"/>
                <w:sz w:val="16"/>
              </w:rPr>
            </w:pPr>
          </w:p>
        </w:tc>
        <w:tc>
          <w:tcPr>
            <w:tcW w:w="809" w:type="dxa"/>
          </w:tcPr>
          <w:p w:rsidR="00FF0230" w:rsidRDefault="00FF0230">
            <w:pPr>
              <w:pStyle w:val="TableParagraph"/>
              <w:rPr>
                <w:rFonts w:ascii="Times New Roman"/>
                <w:sz w:val="16"/>
              </w:rPr>
            </w:pPr>
          </w:p>
        </w:tc>
        <w:tc>
          <w:tcPr>
            <w:tcW w:w="996" w:type="dxa"/>
          </w:tcPr>
          <w:p w:rsidR="00FF0230" w:rsidRDefault="00FF0230">
            <w:pPr>
              <w:pStyle w:val="TableParagraph"/>
              <w:rPr>
                <w:rFonts w:ascii="Times New Roman"/>
                <w:sz w:val="16"/>
              </w:rPr>
            </w:pPr>
          </w:p>
        </w:tc>
      </w:tr>
      <w:tr w:rsidR="00FF0230">
        <w:trPr>
          <w:trHeight w:val="328"/>
        </w:trPr>
        <w:tc>
          <w:tcPr>
            <w:tcW w:w="1277" w:type="dxa"/>
          </w:tcPr>
          <w:p w:rsidR="00FF0230" w:rsidRDefault="00FF0230">
            <w:pPr>
              <w:pStyle w:val="TableParagraph"/>
              <w:rPr>
                <w:rFonts w:ascii="Times New Roman"/>
                <w:sz w:val="16"/>
              </w:rPr>
            </w:pPr>
          </w:p>
        </w:tc>
        <w:tc>
          <w:tcPr>
            <w:tcW w:w="1030" w:type="dxa"/>
          </w:tcPr>
          <w:p w:rsidR="00FF0230" w:rsidRDefault="00FF0230">
            <w:pPr>
              <w:pStyle w:val="TableParagraph"/>
              <w:rPr>
                <w:rFonts w:ascii="Times New Roman"/>
                <w:sz w:val="16"/>
              </w:rPr>
            </w:pPr>
          </w:p>
        </w:tc>
        <w:tc>
          <w:tcPr>
            <w:tcW w:w="1032" w:type="dxa"/>
          </w:tcPr>
          <w:p w:rsidR="00FF0230" w:rsidRDefault="00FF0230">
            <w:pPr>
              <w:pStyle w:val="TableParagraph"/>
              <w:rPr>
                <w:rFonts w:ascii="Times New Roman"/>
                <w:sz w:val="16"/>
              </w:rPr>
            </w:pPr>
          </w:p>
        </w:tc>
        <w:tc>
          <w:tcPr>
            <w:tcW w:w="1538" w:type="dxa"/>
          </w:tcPr>
          <w:p w:rsidR="00FF0230" w:rsidRDefault="00FF0230">
            <w:pPr>
              <w:pStyle w:val="TableParagraph"/>
              <w:rPr>
                <w:rFonts w:ascii="Times New Roman"/>
                <w:sz w:val="16"/>
              </w:rPr>
            </w:pPr>
          </w:p>
        </w:tc>
        <w:tc>
          <w:tcPr>
            <w:tcW w:w="1032" w:type="dxa"/>
          </w:tcPr>
          <w:p w:rsidR="00FF0230" w:rsidRDefault="00FF0230">
            <w:pPr>
              <w:pStyle w:val="TableParagraph"/>
              <w:rPr>
                <w:rFonts w:ascii="Times New Roman"/>
                <w:sz w:val="16"/>
              </w:rPr>
            </w:pPr>
          </w:p>
        </w:tc>
        <w:tc>
          <w:tcPr>
            <w:tcW w:w="1032" w:type="dxa"/>
          </w:tcPr>
          <w:p w:rsidR="00FF0230" w:rsidRDefault="00FF0230">
            <w:pPr>
              <w:pStyle w:val="TableParagraph"/>
              <w:rPr>
                <w:rFonts w:ascii="Times New Roman"/>
                <w:sz w:val="16"/>
              </w:rPr>
            </w:pPr>
          </w:p>
        </w:tc>
        <w:tc>
          <w:tcPr>
            <w:tcW w:w="809" w:type="dxa"/>
          </w:tcPr>
          <w:p w:rsidR="00FF0230" w:rsidRDefault="00FF0230">
            <w:pPr>
              <w:pStyle w:val="TableParagraph"/>
              <w:rPr>
                <w:rFonts w:ascii="Times New Roman"/>
                <w:sz w:val="16"/>
              </w:rPr>
            </w:pPr>
          </w:p>
        </w:tc>
        <w:tc>
          <w:tcPr>
            <w:tcW w:w="996" w:type="dxa"/>
          </w:tcPr>
          <w:p w:rsidR="00FF0230" w:rsidRDefault="00FF0230">
            <w:pPr>
              <w:pStyle w:val="TableParagraph"/>
              <w:rPr>
                <w:rFonts w:ascii="Times New Roman"/>
                <w:sz w:val="16"/>
              </w:rPr>
            </w:pPr>
          </w:p>
        </w:tc>
      </w:tr>
      <w:tr w:rsidR="00FF0230">
        <w:trPr>
          <w:trHeight w:val="330"/>
        </w:trPr>
        <w:tc>
          <w:tcPr>
            <w:tcW w:w="1277" w:type="dxa"/>
          </w:tcPr>
          <w:p w:rsidR="00FF0230" w:rsidRDefault="00FF0230">
            <w:pPr>
              <w:pStyle w:val="TableParagraph"/>
              <w:rPr>
                <w:rFonts w:ascii="Times New Roman"/>
                <w:sz w:val="16"/>
              </w:rPr>
            </w:pPr>
          </w:p>
        </w:tc>
        <w:tc>
          <w:tcPr>
            <w:tcW w:w="1030" w:type="dxa"/>
          </w:tcPr>
          <w:p w:rsidR="00FF0230" w:rsidRDefault="00FF0230">
            <w:pPr>
              <w:pStyle w:val="TableParagraph"/>
              <w:rPr>
                <w:rFonts w:ascii="Times New Roman"/>
                <w:sz w:val="16"/>
              </w:rPr>
            </w:pPr>
          </w:p>
        </w:tc>
        <w:tc>
          <w:tcPr>
            <w:tcW w:w="1032" w:type="dxa"/>
          </w:tcPr>
          <w:p w:rsidR="00FF0230" w:rsidRDefault="00FF0230">
            <w:pPr>
              <w:pStyle w:val="TableParagraph"/>
              <w:rPr>
                <w:rFonts w:ascii="Times New Roman"/>
                <w:sz w:val="16"/>
              </w:rPr>
            </w:pPr>
          </w:p>
        </w:tc>
        <w:tc>
          <w:tcPr>
            <w:tcW w:w="1538" w:type="dxa"/>
          </w:tcPr>
          <w:p w:rsidR="00FF0230" w:rsidRDefault="00FF0230">
            <w:pPr>
              <w:pStyle w:val="TableParagraph"/>
              <w:rPr>
                <w:rFonts w:ascii="Times New Roman"/>
                <w:sz w:val="16"/>
              </w:rPr>
            </w:pPr>
          </w:p>
        </w:tc>
        <w:tc>
          <w:tcPr>
            <w:tcW w:w="1032" w:type="dxa"/>
          </w:tcPr>
          <w:p w:rsidR="00FF0230" w:rsidRDefault="00FF0230">
            <w:pPr>
              <w:pStyle w:val="TableParagraph"/>
              <w:rPr>
                <w:rFonts w:ascii="Times New Roman"/>
                <w:sz w:val="16"/>
              </w:rPr>
            </w:pPr>
          </w:p>
        </w:tc>
        <w:tc>
          <w:tcPr>
            <w:tcW w:w="1032" w:type="dxa"/>
          </w:tcPr>
          <w:p w:rsidR="00FF0230" w:rsidRDefault="00FF0230">
            <w:pPr>
              <w:pStyle w:val="TableParagraph"/>
              <w:rPr>
                <w:rFonts w:ascii="Times New Roman"/>
                <w:sz w:val="16"/>
              </w:rPr>
            </w:pPr>
          </w:p>
        </w:tc>
        <w:tc>
          <w:tcPr>
            <w:tcW w:w="809" w:type="dxa"/>
          </w:tcPr>
          <w:p w:rsidR="00FF0230" w:rsidRDefault="00FF0230">
            <w:pPr>
              <w:pStyle w:val="TableParagraph"/>
              <w:rPr>
                <w:rFonts w:ascii="Times New Roman"/>
                <w:sz w:val="16"/>
              </w:rPr>
            </w:pPr>
          </w:p>
        </w:tc>
        <w:tc>
          <w:tcPr>
            <w:tcW w:w="996" w:type="dxa"/>
          </w:tcPr>
          <w:p w:rsidR="00FF0230" w:rsidRDefault="00FF0230">
            <w:pPr>
              <w:pStyle w:val="TableParagraph"/>
              <w:rPr>
                <w:rFonts w:ascii="Times New Roman"/>
                <w:sz w:val="16"/>
              </w:rPr>
            </w:pPr>
          </w:p>
        </w:tc>
      </w:tr>
      <w:tr w:rsidR="00FF0230">
        <w:trPr>
          <w:trHeight w:val="330"/>
        </w:trPr>
        <w:tc>
          <w:tcPr>
            <w:tcW w:w="1277" w:type="dxa"/>
          </w:tcPr>
          <w:p w:rsidR="00FF0230" w:rsidRDefault="00FF0230">
            <w:pPr>
              <w:pStyle w:val="TableParagraph"/>
              <w:rPr>
                <w:rFonts w:ascii="Times New Roman"/>
                <w:sz w:val="16"/>
              </w:rPr>
            </w:pPr>
          </w:p>
        </w:tc>
        <w:tc>
          <w:tcPr>
            <w:tcW w:w="1030" w:type="dxa"/>
          </w:tcPr>
          <w:p w:rsidR="00FF0230" w:rsidRDefault="00FF0230">
            <w:pPr>
              <w:pStyle w:val="TableParagraph"/>
              <w:rPr>
                <w:rFonts w:ascii="Times New Roman"/>
                <w:sz w:val="16"/>
              </w:rPr>
            </w:pPr>
          </w:p>
        </w:tc>
        <w:tc>
          <w:tcPr>
            <w:tcW w:w="1032" w:type="dxa"/>
          </w:tcPr>
          <w:p w:rsidR="00FF0230" w:rsidRDefault="00FF0230">
            <w:pPr>
              <w:pStyle w:val="TableParagraph"/>
              <w:rPr>
                <w:rFonts w:ascii="Times New Roman"/>
                <w:sz w:val="16"/>
              </w:rPr>
            </w:pPr>
          </w:p>
        </w:tc>
        <w:tc>
          <w:tcPr>
            <w:tcW w:w="1538" w:type="dxa"/>
          </w:tcPr>
          <w:p w:rsidR="00FF0230" w:rsidRDefault="00FF0230">
            <w:pPr>
              <w:pStyle w:val="TableParagraph"/>
              <w:rPr>
                <w:rFonts w:ascii="Times New Roman"/>
                <w:sz w:val="16"/>
              </w:rPr>
            </w:pPr>
          </w:p>
        </w:tc>
        <w:tc>
          <w:tcPr>
            <w:tcW w:w="1032" w:type="dxa"/>
          </w:tcPr>
          <w:p w:rsidR="00FF0230" w:rsidRDefault="00FF0230">
            <w:pPr>
              <w:pStyle w:val="TableParagraph"/>
              <w:rPr>
                <w:rFonts w:ascii="Times New Roman"/>
                <w:sz w:val="16"/>
              </w:rPr>
            </w:pPr>
          </w:p>
        </w:tc>
        <w:tc>
          <w:tcPr>
            <w:tcW w:w="1032" w:type="dxa"/>
          </w:tcPr>
          <w:p w:rsidR="00FF0230" w:rsidRDefault="00FF0230">
            <w:pPr>
              <w:pStyle w:val="TableParagraph"/>
              <w:rPr>
                <w:rFonts w:ascii="Times New Roman"/>
                <w:sz w:val="16"/>
              </w:rPr>
            </w:pPr>
          </w:p>
        </w:tc>
        <w:tc>
          <w:tcPr>
            <w:tcW w:w="809" w:type="dxa"/>
          </w:tcPr>
          <w:p w:rsidR="00FF0230" w:rsidRDefault="00FF0230">
            <w:pPr>
              <w:pStyle w:val="TableParagraph"/>
              <w:rPr>
                <w:rFonts w:ascii="Times New Roman"/>
                <w:sz w:val="16"/>
              </w:rPr>
            </w:pPr>
          </w:p>
        </w:tc>
        <w:tc>
          <w:tcPr>
            <w:tcW w:w="996" w:type="dxa"/>
          </w:tcPr>
          <w:p w:rsidR="00FF0230" w:rsidRDefault="00FF0230">
            <w:pPr>
              <w:pStyle w:val="TableParagraph"/>
              <w:rPr>
                <w:rFonts w:ascii="Times New Roman"/>
                <w:sz w:val="16"/>
              </w:rPr>
            </w:pPr>
          </w:p>
        </w:tc>
      </w:tr>
    </w:tbl>
    <w:p w:rsidR="00FF0230" w:rsidRDefault="00FF0230">
      <w:pPr>
        <w:pStyle w:val="Textoindependiente"/>
        <w:spacing w:before="160"/>
      </w:pPr>
    </w:p>
    <w:p w:rsidR="00FF0230" w:rsidRDefault="007637B6">
      <w:pPr>
        <w:pStyle w:val="Textoindependiente"/>
        <w:spacing w:line="278" w:lineRule="auto"/>
        <w:ind w:left="259" w:right="253" w:firstLine="288"/>
        <w:jc w:val="both"/>
      </w:pPr>
      <w:r>
        <w:t>En la Ciudad de México, Distrito Federal, siendo las doce horas con catorce minutos del día 27 de febrero del año dos mil trece, con fundamento en los artículos 11 de la Ley General de Contabilidad Gubernamental, 12, fracción IV, y 64 del Reglamento Interi</w:t>
      </w:r>
      <w:r>
        <w:t>or de la Secretaría de Hacienda y Crédito Público, el Titular de la Unidad de Contabilidad Gubernamental de la Subsecretaría de Egresos de la Secretaría de Hacienda y</w:t>
      </w:r>
      <w:r>
        <w:rPr>
          <w:spacing w:val="40"/>
        </w:rPr>
        <w:t xml:space="preserve"> </w:t>
      </w:r>
      <w:r>
        <w:t>Crédito Público, en mi calidad de Secretario Técnico del Consejo Nacional de Armonización</w:t>
      </w:r>
      <w:r>
        <w:t xml:space="preserve"> Contable, HAGO CONSTAR Y CERTIFICO que el documento consistente en 1 foja útil, impresa por anverso y reverso, rubricada y</w:t>
      </w:r>
      <w:r>
        <w:rPr>
          <w:spacing w:val="-1"/>
        </w:rPr>
        <w:t xml:space="preserve"> </w:t>
      </w:r>
      <w:r>
        <w:t>cotejada, denominado Norma para establecer la</w:t>
      </w:r>
      <w:r>
        <w:rPr>
          <w:spacing w:val="-4"/>
        </w:rPr>
        <w:t xml:space="preserve"> </w:t>
      </w:r>
      <w:r>
        <w:t>estructura de</w:t>
      </w:r>
      <w:r>
        <w:rPr>
          <w:spacing w:val="-1"/>
        </w:rPr>
        <w:t xml:space="preserve"> </w:t>
      </w:r>
      <w:r>
        <w:t>información</w:t>
      </w:r>
      <w:r>
        <w:rPr>
          <w:spacing w:val="-1"/>
        </w:rPr>
        <w:t xml:space="preserve"> </w:t>
      </w:r>
      <w:r>
        <w:t>de</w:t>
      </w:r>
      <w:r>
        <w:rPr>
          <w:spacing w:val="-1"/>
        </w:rPr>
        <w:t xml:space="preserve"> </w:t>
      </w:r>
      <w:r>
        <w:t>montos pagados</w:t>
      </w:r>
      <w:r>
        <w:rPr>
          <w:spacing w:val="-1"/>
        </w:rPr>
        <w:t xml:space="preserve"> </w:t>
      </w:r>
      <w:r>
        <w:t>por ayudas y subsidios, corresponde con el texto aprobado por el Consejo Nacional de Armonización Contable, mismo</w:t>
      </w:r>
      <w:r>
        <w:rPr>
          <w:spacing w:val="-1"/>
        </w:rPr>
        <w:t xml:space="preserve"> </w:t>
      </w:r>
      <w:r>
        <w:t>que</w:t>
      </w:r>
      <w:r>
        <w:rPr>
          <w:spacing w:val="-1"/>
        </w:rPr>
        <w:t xml:space="preserve"> </w:t>
      </w:r>
      <w:r>
        <w:t>estuvo</w:t>
      </w:r>
      <w:r>
        <w:rPr>
          <w:spacing w:val="-1"/>
        </w:rPr>
        <w:t xml:space="preserve"> </w:t>
      </w:r>
      <w:r>
        <w:t>a</w:t>
      </w:r>
      <w:r>
        <w:rPr>
          <w:spacing w:val="-1"/>
        </w:rPr>
        <w:t xml:space="preserve"> </w:t>
      </w:r>
      <w:r>
        <w:t>la</w:t>
      </w:r>
      <w:r>
        <w:rPr>
          <w:spacing w:val="-1"/>
        </w:rPr>
        <w:t xml:space="preserve"> </w:t>
      </w:r>
      <w:r>
        <w:t>vista</w:t>
      </w:r>
      <w:r>
        <w:rPr>
          <w:spacing w:val="-1"/>
        </w:rPr>
        <w:t xml:space="preserve"> </w:t>
      </w:r>
      <w:r>
        <w:t>de</w:t>
      </w:r>
      <w:r>
        <w:rPr>
          <w:spacing w:val="-1"/>
        </w:rPr>
        <w:t xml:space="preserve"> </w:t>
      </w:r>
      <w:r>
        <w:t>los</w:t>
      </w:r>
      <w:r>
        <w:rPr>
          <w:spacing w:val="-1"/>
        </w:rPr>
        <w:t xml:space="preserve"> </w:t>
      </w:r>
      <w:r>
        <w:t>integrantes</w:t>
      </w:r>
      <w:r>
        <w:rPr>
          <w:spacing w:val="-1"/>
        </w:rPr>
        <w:t xml:space="preserve"> </w:t>
      </w:r>
      <w:r>
        <w:t>de</w:t>
      </w:r>
      <w:r>
        <w:rPr>
          <w:spacing w:val="-1"/>
        </w:rPr>
        <w:t xml:space="preserve"> </w:t>
      </w:r>
      <w:r>
        <w:t>dicho</w:t>
      </w:r>
      <w:r>
        <w:rPr>
          <w:spacing w:val="-1"/>
        </w:rPr>
        <w:t xml:space="preserve"> </w:t>
      </w:r>
      <w:r>
        <w:t>Consejo</w:t>
      </w:r>
      <w:r>
        <w:rPr>
          <w:spacing w:val="-1"/>
        </w:rPr>
        <w:t xml:space="preserve"> </w:t>
      </w:r>
      <w:r>
        <w:t>en</w:t>
      </w:r>
      <w:r>
        <w:rPr>
          <w:spacing w:val="-1"/>
        </w:rPr>
        <w:t xml:space="preserve"> </w:t>
      </w:r>
      <w:r>
        <w:t>su</w:t>
      </w:r>
      <w:r>
        <w:rPr>
          <w:spacing w:val="-1"/>
        </w:rPr>
        <w:t xml:space="preserve"> </w:t>
      </w:r>
      <w:r>
        <w:t>primera</w:t>
      </w:r>
      <w:r>
        <w:rPr>
          <w:spacing w:val="-1"/>
        </w:rPr>
        <w:t xml:space="preserve"> </w:t>
      </w:r>
      <w:r>
        <w:t>reunión</w:t>
      </w:r>
      <w:r>
        <w:rPr>
          <w:spacing w:val="-4"/>
        </w:rPr>
        <w:t xml:space="preserve"> </w:t>
      </w:r>
      <w:r>
        <w:t>celebrada,</w:t>
      </w:r>
      <w:r>
        <w:rPr>
          <w:spacing w:val="-2"/>
        </w:rPr>
        <w:t xml:space="preserve"> </w:t>
      </w:r>
      <w:r>
        <w:t>en</w:t>
      </w:r>
      <w:r>
        <w:rPr>
          <w:spacing w:val="-1"/>
        </w:rPr>
        <w:t xml:space="preserve"> </w:t>
      </w:r>
      <w:r>
        <w:t>segunda convocatoria, este 27 de febrero del pre</w:t>
      </w:r>
      <w:r>
        <w:t xml:space="preserve">sente año, situación que se certifica para los efectos legales conducentes.- El Secretario Técnico del Consejo Nacional de Armonización Contable, </w:t>
      </w:r>
      <w:r>
        <w:rPr>
          <w:rFonts w:ascii="Arial" w:hAnsi="Arial"/>
          <w:b/>
        </w:rPr>
        <w:t>Juan Manuel Alcocer Gamba</w:t>
      </w:r>
      <w:r>
        <w:t>.- Rúbrica.</w:t>
      </w:r>
    </w:p>
    <w:p w:rsidR="00FF0230" w:rsidRDefault="00FF0230">
      <w:pPr>
        <w:pStyle w:val="Textoindependiente"/>
        <w:spacing w:line="278" w:lineRule="auto"/>
        <w:jc w:val="both"/>
        <w:sectPr w:rsidR="00FF0230">
          <w:pgSz w:w="12240" w:h="15840"/>
          <w:pgMar w:top="1180" w:right="1440" w:bottom="920" w:left="1440" w:header="0" w:footer="732" w:gutter="0"/>
          <w:cols w:space="720"/>
        </w:sectPr>
      </w:pPr>
    </w:p>
    <w:p w:rsidR="00FF0230" w:rsidRDefault="007637B6">
      <w:pPr>
        <w:pStyle w:val="Ttulo1"/>
        <w:spacing w:before="75" w:line="278" w:lineRule="auto"/>
        <w:ind w:left="259" w:right="160" w:firstLine="288"/>
      </w:pPr>
      <w:r>
        <w:lastRenderedPageBreak/>
        <w:t>Acuerdo que reforma a la Norma para establecer la estructura de información de montos pagados por ayudas y subsidios.</w:t>
      </w:r>
    </w:p>
    <w:p w:rsidR="00FF0230" w:rsidRDefault="007637B6">
      <w:pPr>
        <w:spacing w:before="102"/>
        <w:ind w:left="289" w:right="2"/>
        <w:jc w:val="center"/>
        <w:rPr>
          <w:sz w:val="16"/>
        </w:rPr>
      </w:pPr>
      <w:r>
        <w:rPr>
          <w:color w:val="0000FF"/>
          <w:sz w:val="16"/>
        </w:rPr>
        <w:t>Publicado</w:t>
      </w:r>
      <w:r>
        <w:rPr>
          <w:color w:val="0000FF"/>
          <w:spacing w:val="-8"/>
          <w:sz w:val="16"/>
        </w:rPr>
        <w:t xml:space="preserve"> </w:t>
      </w:r>
      <w:r>
        <w:rPr>
          <w:color w:val="0000FF"/>
          <w:sz w:val="16"/>
        </w:rPr>
        <w:t>DOF</w:t>
      </w:r>
      <w:r>
        <w:rPr>
          <w:color w:val="0000FF"/>
          <w:spacing w:val="-4"/>
          <w:sz w:val="16"/>
        </w:rPr>
        <w:t xml:space="preserve"> </w:t>
      </w:r>
      <w:r>
        <w:rPr>
          <w:color w:val="0000FF"/>
          <w:sz w:val="16"/>
        </w:rPr>
        <w:t>06-10-</w:t>
      </w:r>
      <w:r>
        <w:rPr>
          <w:color w:val="0000FF"/>
          <w:spacing w:val="-4"/>
          <w:sz w:val="16"/>
        </w:rPr>
        <w:t>2014</w:t>
      </w:r>
    </w:p>
    <w:p w:rsidR="00FF0230" w:rsidRDefault="00FF0230">
      <w:pPr>
        <w:pStyle w:val="Textoindependiente"/>
        <w:rPr>
          <w:sz w:val="16"/>
        </w:rPr>
      </w:pPr>
    </w:p>
    <w:p w:rsidR="00FF0230" w:rsidRDefault="00FF0230">
      <w:pPr>
        <w:pStyle w:val="Textoindependiente"/>
        <w:spacing w:before="114"/>
        <w:rPr>
          <w:sz w:val="16"/>
        </w:rPr>
      </w:pPr>
    </w:p>
    <w:p w:rsidR="00FF0230" w:rsidRDefault="007637B6">
      <w:pPr>
        <w:pStyle w:val="Ttulo1"/>
        <w:ind w:left="287" w:right="289"/>
        <w:jc w:val="center"/>
      </w:pPr>
      <w:r>
        <w:rPr>
          <w:spacing w:val="-2"/>
        </w:rPr>
        <w:t>TRANSITORIOS</w:t>
      </w:r>
    </w:p>
    <w:p w:rsidR="00FF0230" w:rsidRDefault="007637B6">
      <w:pPr>
        <w:pStyle w:val="Textoindependiente"/>
        <w:spacing w:before="162" w:line="312" w:lineRule="auto"/>
        <w:ind w:left="259" w:right="255" w:firstLine="288"/>
        <w:jc w:val="both"/>
      </w:pPr>
      <w:r>
        <w:rPr>
          <w:rFonts w:ascii="Arial" w:hAnsi="Arial"/>
          <w:b/>
        </w:rPr>
        <w:t xml:space="preserve">PRIMERO.- </w:t>
      </w:r>
      <w:r>
        <w:t xml:space="preserve">El presente Acuerdo entrará en vigor a partir del día siguiente de su publicación en el </w:t>
      </w:r>
      <w:r>
        <w:t>Diario Oficial de la Federación.</w:t>
      </w:r>
    </w:p>
    <w:p w:rsidR="00FF0230" w:rsidRDefault="007637B6">
      <w:pPr>
        <w:pStyle w:val="Textoindependiente"/>
        <w:spacing w:before="100" w:line="312" w:lineRule="auto"/>
        <w:ind w:left="259" w:right="253" w:firstLine="288"/>
        <w:jc w:val="both"/>
      </w:pPr>
      <w:r>
        <w:rPr>
          <w:rFonts w:ascii="Arial" w:hAnsi="Arial"/>
          <w:b/>
        </w:rPr>
        <w:t>SEGUNDO.-</w:t>
      </w:r>
      <w:r>
        <w:rPr>
          <w:rFonts w:ascii="Arial" w:hAnsi="Arial"/>
          <w:b/>
          <w:spacing w:val="-2"/>
        </w:rPr>
        <w:t xml:space="preserve"> </w:t>
      </w:r>
      <w:r>
        <w:t>Las</w:t>
      </w:r>
      <w:r>
        <w:rPr>
          <w:spacing w:val="-1"/>
        </w:rPr>
        <w:t xml:space="preserve"> </w:t>
      </w:r>
      <w:r>
        <w:t>entidades</w:t>
      </w:r>
      <w:r>
        <w:rPr>
          <w:spacing w:val="-3"/>
        </w:rPr>
        <w:t xml:space="preserve"> </w:t>
      </w:r>
      <w:r>
        <w:t>federativas,</w:t>
      </w:r>
      <w:r>
        <w:rPr>
          <w:spacing w:val="-2"/>
        </w:rPr>
        <w:t xml:space="preserve"> </w:t>
      </w:r>
      <w:r>
        <w:t>en</w:t>
      </w:r>
      <w:r>
        <w:rPr>
          <w:spacing w:val="-4"/>
        </w:rPr>
        <w:t xml:space="preserve"> </w:t>
      </w:r>
      <w:r>
        <w:t>cumplimiento</w:t>
      </w:r>
      <w:r>
        <w:rPr>
          <w:spacing w:val="-1"/>
        </w:rPr>
        <w:t xml:space="preserve"> </w:t>
      </w:r>
      <w:r>
        <w:t>de</w:t>
      </w:r>
      <w:r>
        <w:rPr>
          <w:spacing w:val="-4"/>
        </w:rPr>
        <w:t xml:space="preserve"> </w:t>
      </w:r>
      <w:r>
        <w:t>lo</w:t>
      </w:r>
      <w:r>
        <w:rPr>
          <w:spacing w:val="-1"/>
        </w:rPr>
        <w:t xml:space="preserve"> </w:t>
      </w:r>
      <w:r>
        <w:t>dispuesto</w:t>
      </w:r>
      <w:r>
        <w:rPr>
          <w:spacing w:val="-4"/>
        </w:rPr>
        <w:t xml:space="preserve"> </w:t>
      </w:r>
      <w:r>
        <w:t>por</w:t>
      </w:r>
      <w:r>
        <w:rPr>
          <w:spacing w:val="-2"/>
        </w:rPr>
        <w:t xml:space="preserve"> </w:t>
      </w:r>
      <w:r>
        <w:t>el</w:t>
      </w:r>
      <w:r>
        <w:rPr>
          <w:spacing w:val="-4"/>
        </w:rPr>
        <w:t xml:space="preserve"> </w:t>
      </w:r>
      <w:r>
        <w:t>artículo</w:t>
      </w:r>
      <w:r>
        <w:rPr>
          <w:spacing w:val="-1"/>
        </w:rPr>
        <w:t xml:space="preserve"> </w:t>
      </w:r>
      <w:r>
        <w:t>7,</w:t>
      </w:r>
      <w:r>
        <w:rPr>
          <w:spacing w:val="-2"/>
        </w:rPr>
        <w:t xml:space="preserve"> </w:t>
      </w:r>
      <w:r>
        <w:t>segundo</w:t>
      </w:r>
      <w:r>
        <w:rPr>
          <w:spacing w:val="-1"/>
        </w:rPr>
        <w:t xml:space="preserve"> </w:t>
      </w:r>
      <w:r>
        <w:t xml:space="preserve">párrafo, de la Ley General de Contabilidad Gubernamental deberán publicar el presente Acuerdo, en sus medios oficiales de difusión escritos y electrónicos, dentro de un plazo de 30 días hábiles siguientes a la publicación del presente en el Diario Oficial </w:t>
      </w:r>
      <w:r>
        <w:t>de la Federación.</w:t>
      </w:r>
    </w:p>
    <w:p w:rsidR="00FF0230" w:rsidRDefault="007637B6">
      <w:pPr>
        <w:pStyle w:val="Textoindependiente"/>
        <w:spacing w:before="100" w:line="312" w:lineRule="auto"/>
        <w:ind w:left="259" w:right="254" w:firstLine="288"/>
        <w:jc w:val="both"/>
      </w:pPr>
      <w:r>
        <w:rPr>
          <w:rFonts w:ascii="Arial" w:hAnsi="Arial"/>
          <w:b/>
        </w:rPr>
        <w:t xml:space="preserve">TERCERO.- </w:t>
      </w:r>
      <w:r>
        <w:t>Los gobiernos de las entidades federativas y los ayuntamientos de los municipios remitirán al Secretario Técnico la información relacionada con los actos que realicen para implementar el presente Acuerdo. Dicha información deber</w:t>
      </w:r>
      <w:r>
        <w:t xml:space="preserve">á ser enviada a la dirección electrónica </w:t>
      </w:r>
      <w:hyperlink r:id="rId8">
        <w:r>
          <w:t>conac_sriotecnico@hacienda.gob.mx,</w:t>
        </w:r>
      </w:hyperlink>
      <w:r>
        <w:rPr>
          <w:spacing w:val="-2"/>
        </w:rPr>
        <w:t xml:space="preserve"> </w:t>
      </w:r>
      <w:r>
        <w:t>dentro</w:t>
      </w:r>
      <w:r>
        <w:rPr>
          <w:spacing w:val="-2"/>
        </w:rPr>
        <w:t xml:space="preserve"> </w:t>
      </w:r>
      <w:r>
        <w:t>de</w:t>
      </w:r>
      <w:r>
        <w:rPr>
          <w:spacing w:val="-1"/>
        </w:rPr>
        <w:t xml:space="preserve"> </w:t>
      </w:r>
      <w:r>
        <w:t>un</w:t>
      </w:r>
      <w:r>
        <w:rPr>
          <w:spacing w:val="-1"/>
        </w:rPr>
        <w:t xml:space="preserve"> </w:t>
      </w:r>
      <w:r>
        <w:t>plazo</w:t>
      </w:r>
      <w:r>
        <w:rPr>
          <w:spacing w:val="-1"/>
        </w:rPr>
        <w:t xml:space="preserve"> </w:t>
      </w:r>
      <w:r>
        <w:t>de</w:t>
      </w:r>
      <w:r>
        <w:rPr>
          <w:spacing w:val="-4"/>
        </w:rPr>
        <w:t xml:space="preserve"> </w:t>
      </w:r>
      <w:r>
        <w:t>15</w:t>
      </w:r>
      <w:r>
        <w:rPr>
          <w:spacing w:val="-1"/>
        </w:rPr>
        <w:t xml:space="preserve"> </w:t>
      </w:r>
      <w:r>
        <w:t>días</w:t>
      </w:r>
      <w:r>
        <w:rPr>
          <w:spacing w:val="-1"/>
        </w:rPr>
        <w:t xml:space="preserve"> </w:t>
      </w:r>
      <w:r>
        <w:t>hábiles</w:t>
      </w:r>
      <w:r>
        <w:rPr>
          <w:spacing w:val="-3"/>
        </w:rPr>
        <w:t xml:space="preserve"> </w:t>
      </w:r>
      <w:r>
        <w:t>contados</w:t>
      </w:r>
      <w:r>
        <w:rPr>
          <w:spacing w:val="-1"/>
        </w:rPr>
        <w:t xml:space="preserve"> </w:t>
      </w:r>
      <w:r>
        <w:t>a</w:t>
      </w:r>
      <w:r>
        <w:rPr>
          <w:spacing w:val="-1"/>
        </w:rPr>
        <w:t xml:space="preserve"> </w:t>
      </w:r>
      <w:r>
        <w:t>partir</w:t>
      </w:r>
      <w:r>
        <w:rPr>
          <w:spacing w:val="-2"/>
        </w:rPr>
        <w:t xml:space="preserve"> </w:t>
      </w:r>
      <w:r>
        <w:t>de</w:t>
      </w:r>
      <w:r>
        <w:rPr>
          <w:spacing w:val="-1"/>
        </w:rPr>
        <w:t xml:space="preserve"> </w:t>
      </w:r>
      <w:r>
        <w:t>la</w:t>
      </w:r>
      <w:r>
        <w:rPr>
          <w:spacing w:val="-1"/>
        </w:rPr>
        <w:t xml:space="preserve"> </w:t>
      </w:r>
      <w:r>
        <w:t>conclusión del plazo fijado en el presente. Los municipios</w:t>
      </w:r>
      <w:r>
        <w:t xml:space="preserve"> sujetos del presente Acuerdo podrán enviar la información</w:t>
      </w:r>
      <w:r>
        <w:rPr>
          <w:spacing w:val="40"/>
        </w:rPr>
        <w:t xml:space="preserve"> </w:t>
      </w:r>
      <w:r>
        <w:t>antes referida por correo ordinario, a la atención del Secretario Técnico del CONAC, en el domicilio de Constituyentes 1001, Colonia Belén de las Flores, Delegación Álvaro Obregón, México, D.F., C.</w:t>
      </w:r>
      <w:r>
        <w:t>P. 01110.</w:t>
      </w:r>
    </w:p>
    <w:p w:rsidR="00FF0230" w:rsidRDefault="007637B6">
      <w:pPr>
        <w:pStyle w:val="Textoindependiente"/>
        <w:spacing w:before="101" w:line="312" w:lineRule="auto"/>
        <w:ind w:left="259" w:right="254" w:firstLine="288"/>
        <w:jc w:val="both"/>
      </w:pPr>
      <w:r>
        <w:rPr>
          <w:rFonts w:ascii="Arial" w:hAnsi="Arial"/>
          <w:b/>
        </w:rPr>
        <w:t xml:space="preserve">CUARTO.- </w:t>
      </w:r>
      <w:r>
        <w:t>En apego al artículo 27 de la Ley General de Contabilidad Gubernamental, los municipios podrán recurrir a otros medios de publicación, distintos al Internet, cuando este servicio no esté disponible, siempre y cuando sean de acceso públic</w:t>
      </w:r>
      <w:r>
        <w:t>o.</w:t>
      </w:r>
    </w:p>
    <w:p w:rsidR="00FF0230" w:rsidRDefault="007637B6">
      <w:pPr>
        <w:pStyle w:val="Textoindependiente"/>
        <w:spacing w:before="100" w:line="312" w:lineRule="auto"/>
        <w:ind w:left="259" w:right="254" w:firstLine="288"/>
        <w:jc w:val="both"/>
      </w:pPr>
      <w:r>
        <w:t>En la Ciudad de México, siendo las diecinueve treinta horas del día 24 de septiembre del año dos mil catorce, con fundamento en los artículos 11 de la Ley General de Contabilidad Gubernamental, 12, fracción</w:t>
      </w:r>
      <w:r>
        <w:rPr>
          <w:spacing w:val="40"/>
        </w:rPr>
        <w:t xml:space="preserve"> </w:t>
      </w:r>
      <w:r>
        <w:t>IV, y 64 del Reglamento Interior de la Secreta</w:t>
      </w:r>
      <w:r>
        <w:t xml:space="preserve">ría de Hacienda y Crédito Público, el Titular de la Unidad de Contabilidad Gubernamental de la Subsecretaría de Egresos de la Secretaría de Hacienda y Crédito Público, en mi calidad de Secretario Técnico del Consejo Nacional de Armonización Contable, </w:t>
      </w:r>
      <w:r>
        <w:rPr>
          <w:rFonts w:ascii="Arial" w:hAnsi="Arial"/>
          <w:b/>
        </w:rPr>
        <w:t xml:space="preserve">HAGO </w:t>
      </w:r>
      <w:r>
        <w:rPr>
          <w:rFonts w:ascii="Arial" w:hAnsi="Arial"/>
          <w:b/>
        </w:rPr>
        <w:t xml:space="preserve">CONSTAR Y CERTIFICO </w:t>
      </w:r>
      <w:r>
        <w:t>que el documento consistente en 1 foja útil, corresponde con el texto del Acuerdo que reforma a</w:t>
      </w:r>
      <w:r>
        <w:rPr>
          <w:spacing w:val="40"/>
        </w:rPr>
        <w:t xml:space="preserve"> </w:t>
      </w:r>
      <w:r>
        <w:t>la Norma para establecer la estructura de información de montos pagados por ayudas y subsidios, aprobada por el Consejo Nacional de Armoniza</w:t>
      </w:r>
      <w:r>
        <w:t>ción Contable, mismo que estuvo a la vista de los integrantes de dicho Consejo en su segunda reunión celebrada, en segunda convocatoria, el 24 de septiembre del presente año, situación que se certifica para los efectos legales conducentes. Rúbrica.</w:t>
      </w:r>
    </w:p>
    <w:p w:rsidR="00FF0230" w:rsidRDefault="007637B6">
      <w:pPr>
        <w:spacing w:before="100" w:line="312" w:lineRule="auto"/>
        <w:ind w:left="259" w:right="254" w:firstLine="288"/>
        <w:jc w:val="both"/>
        <w:rPr>
          <w:sz w:val="18"/>
        </w:rPr>
      </w:pPr>
      <w:r>
        <w:rPr>
          <w:sz w:val="18"/>
        </w:rPr>
        <w:t xml:space="preserve">El Secretario Técnico del Consejo Nacional de Armonización Contable, </w:t>
      </w:r>
      <w:r>
        <w:rPr>
          <w:rFonts w:ascii="Arial" w:hAnsi="Arial"/>
          <w:b/>
          <w:sz w:val="18"/>
        </w:rPr>
        <w:t>Juan Manuel Alcocer Gamba</w:t>
      </w:r>
      <w:r>
        <w:rPr>
          <w:sz w:val="18"/>
        </w:rPr>
        <w:t xml:space="preserve">.- </w:t>
      </w:r>
      <w:r>
        <w:rPr>
          <w:spacing w:val="-2"/>
          <w:sz w:val="18"/>
        </w:rPr>
        <w:t>Rúbrica.</w:t>
      </w:r>
    </w:p>
    <w:sectPr w:rsidR="00FF0230">
      <w:pgSz w:w="12240" w:h="15840"/>
      <w:pgMar w:top="1100" w:right="1440" w:bottom="920" w:left="1440" w:header="0" w:footer="732"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7637B6">
      <w:r>
        <w:separator/>
      </w:r>
    </w:p>
  </w:endnote>
  <w:endnote w:type="continuationSeparator" w:id="0">
    <w:p w:rsidR="00000000" w:rsidRDefault="007637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MT">
    <w:altName w:val="Arial"/>
    <w:charset w:val="01"/>
    <w:family w:val="swiss"/>
    <w:pitch w:val="variable"/>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0230" w:rsidRDefault="007637B6">
    <w:pPr>
      <w:pStyle w:val="Textoindependiente"/>
      <w:spacing w:line="14" w:lineRule="auto"/>
      <w:rPr>
        <w:sz w:val="20"/>
      </w:rPr>
    </w:pPr>
    <w:r>
      <w:rPr>
        <w:noProof/>
        <w:sz w:val="20"/>
        <w:lang w:val="es-MX" w:eastAsia="es-MX"/>
      </w:rPr>
      <mc:AlternateContent>
        <mc:Choice Requires="wps">
          <w:drawing>
            <wp:anchor distT="0" distB="0" distL="0" distR="0" simplePos="0" relativeHeight="487449600" behindDoc="1" locked="0" layoutInCell="1" allowOverlap="1">
              <wp:simplePos x="0" y="0"/>
              <wp:positionH relativeFrom="page">
                <wp:posOffset>6585204</wp:posOffset>
              </wp:positionH>
              <wp:positionV relativeFrom="page">
                <wp:posOffset>9454177</wp:posOffset>
              </wp:positionV>
              <wp:extent cx="159385" cy="167005"/>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9385" cy="167005"/>
                      </a:xfrm>
                      <a:prstGeom prst="rect">
                        <a:avLst/>
                      </a:prstGeom>
                    </wps:spPr>
                    <wps:txbx>
                      <w:txbxContent>
                        <w:p w:rsidR="00FF0230" w:rsidRDefault="007637B6">
                          <w:pPr>
                            <w:spacing w:before="12"/>
                            <w:ind w:left="60"/>
                            <w:rPr>
                              <w:sz w:val="20"/>
                            </w:rPr>
                          </w:pPr>
                          <w:r>
                            <w:rPr>
                              <w:spacing w:val="-10"/>
                              <w:sz w:val="20"/>
                            </w:rPr>
                            <w:fldChar w:fldCharType="begin"/>
                          </w:r>
                          <w:r>
                            <w:rPr>
                              <w:spacing w:val="-10"/>
                              <w:sz w:val="20"/>
                            </w:rPr>
                            <w:instrText xml:space="preserve"> PAGE </w:instrText>
                          </w:r>
                          <w:r>
                            <w:rPr>
                              <w:spacing w:val="-10"/>
                              <w:sz w:val="20"/>
                            </w:rPr>
                            <w:fldChar w:fldCharType="separate"/>
                          </w:r>
                          <w:r>
                            <w:rPr>
                              <w:noProof/>
                              <w:spacing w:val="-10"/>
                              <w:sz w:val="20"/>
                            </w:rPr>
                            <w:t>1</w:t>
                          </w:r>
                          <w:r>
                            <w:rPr>
                              <w:spacing w:val="-10"/>
                              <w:sz w:val="20"/>
                            </w:rPr>
                            <w:fldChar w:fldCharType="end"/>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1" o:spid="_x0000_s1026" type="#_x0000_t202" style="position:absolute;margin-left:518.5pt;margin-top:744.4pt;width:12.55pt;height:13.15pt;z-index:-158668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M3x0pgEAAD4DAAAOAAAAZHJzL2Uyb0RvYy54bWysUsGO0zAQvSPxD5bv1OmiLkvUdAWsQEgr&#10;WGmXD3Acu7GIPcbjNunfM3bS7gpuiIszjt+8N29mtreTG9hRR7TgG75eVZxpr6Czft/wH0+f39xw&#10;hkn6Tg7gdcNPGvnt7vWr7RhqfQU9DJ2OjEg81mNoeJ9SqIVA1WsncQVBe3o0EJ1MdI170UU5Ersb&#10;xFVVXYsRYhciKI1If+/mR74r/MZolb4bgzqxoeFUWypnLGebT7HbynofZeitWsqQ/1CFk9aT6IXq&#10;TibJDtH+ReWsioBg0kqBE2CMVbp4IDfr6g83j70Munih5mC4tAn/H636dnyIzHY0O868dDSiJz2l&#10;Fia2zs0ZA9aEeQyEStNHmDIwG8VwD+onEkS8wMwJSOiMmUx0+Us2GSVS/0+XnpMIU5lt8/7tzYYz&#10;RU/r63dVtcmy4jk5RExfNDiWg4ZHGmkpQB7vMc3QM2SpZZbPVaWpnRYTLXQn8jDSqBuOvw4yas6G&#10;r556mffiHMRz0J6DmIZPULYnW/Hw4ZDA2KKcJWbeRZmGVGpfFipvwct7QT2v/e43AAAA//8DAFBL&#10;AwQUAAYACAAAACEA1agiNOEAAAAPAQAADwAAAGRycy9kb3ducmV2LnhtbExPQU7DMBC8I/EHa5G4&#10;UbuBtlGIU6GiigPi0AISRzc2cUS8jmw3dX/P9gTay4xmNDtTr7Mb2GRC7D1KmM8EMIOt1z12Ej7e&#10;t3clsJgUajV4NBLOJsK6ub6qVaX9CXdm2qeOUQjGSkmwKY0V57G1xqk486NB0r59cCoRDR3XQZ0o&#10;3A28EGLJneqRPlg1mo017c/+6CR8bsbta/6y6m1a6JfnYrU7hzZLeXuTnx6BJZPTnxku9ak6NNTp&#10;4I+oIxuIi/sVjUmEHsqSVlw8YlnMgR0ILeiANzX/v6P5BQAA//8DAFBLAQItABQABgAIAAAAIQC2&#10;gziS/gAAAOEBAAATAAAAAAAAAAAAAAAAAAAAAABbQ29udGVudF9UeXBlc10ueG1sUEsBAi0AFAAG&#10;AAgAAAAhADj9If/WAAAAlAEAAAsAAAAAAAAAAAAAAAAALwEAAF9yZWxzLy5yZWxzUEsBAi0AFAAG&#10;AAgAAAAhAEAzfHSmAQAAPgMAAA4AAAAAAAAAAAAAAAAALgIAAGRycy9lMm9Eb2MueG1sUEsBAi0A&#10;FAAGAAgAAAAhANWoIjThAAAADwEAAA8AAAAAAAAAAAAAAAAAAAQAAGRycy9kb3ducmV2LnhtbFBL&#10;BQYAAAAABAAEAPMAAAAOBQAAAAA=&#10;" filled="f" stroked="f">
              <v:path arrowok="t"/>
              <v:textbox inset="0,0,0,0">
                <w:txbxContent>
                  <w:p w:rsidR="00FF0230" w:rsidRDefault="007637B6">
                    <w:pPr>
                      <w:spacing w:before="12"/>
                      <w:ind w:left="60"/>
                      <w:rPr>
                        <w:sz w:val="20"/>
                      </w:rPr>
                    </w:pPr>
                    <w:r>
                      <w:rPr>
                        <w:spacing w:val="-10"/>
                        <w:sz w:val="20"/>
                      </w:rPr>
                      <w:fldChar w:fldCharType="begin"/>
                    </w:r>
                    <w:r>
                      <w:rPr>
                        <w:spacing w:val="-10"/>
                        <w:sz w:val="20"/>
                      </w:rPr>
                      <w:instrText xml:space="preserve"> PAGE </w:instrText>
                    </w:r>
                    <w:r>
                      <w:rPr>
                        <w:spacing w:val="-10"/>
                        <w:sz w:val="20"/>
                      </w:rPr>
                      <w:fldChar w:fldCharType="separate"/>
                    </w:r>
                    <w:r>
                      <w:rPr>
                        <w:noProof/>
                        <w:spacing w:val="-10"/>
                        <w:sz w:val="20"/>
                      </w:rPr>
                      <w:t>1</w:t>
                    </w:r>
                    <w:r>
                      <w:rPr>
                        <w:spacing w:val="-10"/>
                        <w:sz w:val="20"/>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7637B6">
      <w:r>
        <w:separator/>
      </w:r>
    </w:p>
  </w:footnote>
  <w:footnote w:type="continuationSeparator" w:id="0">
    <w:p w:rsidR="00000000" w:rsidRDefault="007637B6">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B7F0087"/>
    <w:multiLevelType w:val="hybridMultilevel"/>
    <w:tmpl w:val="EDBE58AE"/>
    <w:lvl w:ilvl="0" w:tplc="6A4C7D1A">
      <w:start w:val="2"/>
      <w:numFmt w:val="decimal"/>
      <w:lvlText w:val="%1."/>
      <w:lvlJc w:val="left"/>
      <w:pPr>
        <w:ind w:left="979" w:hanging="432"/>
        <w:jc w:val="left"/>
      </w:pPr>
      <w:rPr>
        <w:rFonts w:ascii="Arial MT" w:eastAsia="Arial MT" w:hAnsi="Arial MT" w:cs="Arial MT" w:hint="default"/>
        <w:b w:val="0"/>
        <w:bCs w:val="0"/>
        <w:i w:val="0"/>
        <w:iCs w:val="0"/>
        <w:spacing w:val="0"/>
        <w:w w:val="100"/>
        <w:sz w:val="18"/>
        <w:szCs w:val="18"/>
        <w:lang w:val="es-ES" w:eastAsia="en-US" w:bidi="ar-SA"/>
      </w:rPr>
    </w:lvl>
    <w:lvl w:ilvl="1" w:tplc="EC26FC18">
      <w:start w:val="1"/>
      <w:numFmt w:val="lowerLetter"/>
      <w:lvlText w:val="%2)"/>
      <w:lvlJc w:val="left"/>
      <w:pPr>
        <w:ind w:left="1339" w:hanging="360"/>
        <w:jc w:val="left"/>
      </w:pPr>
      <w:rPr>
        <w:rFonts w:ascii="Arial MT" w:eastAsia="Arial MT" w:hAnsi="Arial MT" w:cs="Arial MT" w:hint="default"/>
        <w:b w:val="0"/>
        <w:bCs w:val="0"/>
        <w:i w:val="0"/>
        <w:iCs w:val="0"/>
        <w:spacing w:val="0"/>
        <w:w w:val="99"/>
        <w:sz w:val="18"/>
        <w:szCs w:val="18"/>
        <w:lang w:val="es-ES" w:eastAsia="en-US" w:bidi="ar-SA"/>
      </w:rPr>
    </w:lvl>
    <w:lvl w:ilvl="2" w:tplc="CA72F5C0">
      <w:numFmt w:val="bullet"/>
      <w:lvlText w:val="•"/>
      <w:lvlJc w:val="left"/>
      <w:pPr>
        <w:ind w:left="2231" w:hanging="360"/>
      </w:pPr>
      <w:rPr>
        <w:rFonts w:hint="default"/>
        <w:lang w:val="es-ES" w:eastAsia="en-US" w:bidi="ar-SA"/>
      </w:rPr>
    </w:lvl>
    <w:lvl w:ilvl="3" w:tplc="470AC51A">
      <w:numFmt w:val="bullet"/>
      <w:lvlText w:val="•"/>
      <w:lvlJc w:val="left"/>
      <w:pPr>
        <w:ind w:left="3122" w:hanging="360"/>
      </w:pPr>
      <w:rPr>
        <w:rFonts w:hint="default"/>
        <w:lang w:val="es-ES" w:eastAsia="en-US" w:bidi="ar-SA"/>
      </w:rPr>
    </w:lvl>
    <w:lvl w:ilvl="4" w:tplc="04B02C2E">
      <w:numFmt w:val="bullet"/>
      <w:lvlText w:val="•"/>
      <w:lvlJc w:val="left"/>
      <w:pPr>
        <w:ind w:left="4013" w:hanging="360"/>
      </w:pPr>
      <w:rPr>
        <w:rFonts w:hint="default"/>
        <w:lang w:val="es-ES" w:eastAsia="en-US" w:bidi="ar-SA"/>
      </w:rPr>
    </w:lvl>
    <w:lvl w:ilvl="5" w:tplc="5378774A">
      <w:numFmt w:val="bullet"/>
      <w:lvlText w:val="•"/>
      <w:lvlJc w:val="left"/>
      <w:pPr>
        <w:ind w:left="4904" w:hanging="360"/>
      </w:pPr>
      <w:rPr>
        <w:rFonts w:hint="default"/>
        <w:lang w:val="es-ES" w:eastAsia="en-US" w:bidi="ar-SA"/>
      </w:rPr>
    </w:lvl>
    <w:lvl w:ilvl="6" w:tplc="C26C4CB2">
      <w:numFmt w:val="bullet"/>
      <w:lvlText w:val="•"/>
      <w:lvlJc w:val="left"/>
      <w:pPr>
        <w:ind w:left="5795" w:hanging="360"/>
      </w:pPr>
      <w:rPr>
        <w:rFonts w:hint="default"/>
        <w:lang w:val="es-ES" w:eastAsia="en-US" w:bidi="ar-SA"/>
      </w:rPr>
    </w:lvl>
    <w:lvl w:ilvl="7" w:tplc="C83C43AA">
      <w:numFmt w:val="bullet"/>
      <w:lvlText w:val="•"/>
      <w:lvlJc w:val="left"/>
      <w:pPr>
        <w:ind w:left="6686" w:hanging="360"/>
      </w:pPr>
      <w:rPr>
        <w:rFonts w:hint="default"/>
        <w:lang w:val="es-ES" w:eastAsia="en-US" w:bidi="ar-SA"/>
      </w:rPr>
    </w:lvl>
    <w:lvl w:ilvl="8" w:tplc="55005542">
      <w:numFmt w:val="bullet"/>
      <w:lvlText w:val="•"/>
      <w:lvlJc w:val="left"/>
      <w:pPr>
        <w:ind w:left="7577" w:hanging="360"/>
      </w:pPr>
      <w:rPr>
        <w:rFonts w:hint="default"/>
        <w:lang w:val="es-ES" w:eastAsia="en-US" w:bidi="ar-S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0230"/>
    <w:rsid w:val="007637B6"/>
    <w:rsid w:val="00FF0230"/>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EC41598-9683-4485-B325-C18DCA5AAB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Arial MT" w:eastAsia="Arial MT" w:hAnsi="Arial MT" w:cs="Arial MT"/>
      <w:lang w:val="es-ES"/>
    </w:rPr>
  </w:style>
  <w:style w:type="paragraph" w:styleId="Ttulo1">
    <w:name w:val="heading 1"/>
    <w:basedOn w:val="Normal"/>
    <w:uiPriority w:val="1"/>
    <w:qFormat/>
    <w:pPr>
      <w:ind w:left="547"/>
      <w:outlineLvl w:val="0"/>
    </w:pPr>
    <w:rPr>
      <w:rFonts w:ascii="Arial" w:eastAsia="Arial" w:hAnsi="Arial" w:cs="Arial"/>
      <w:b/>
      <w:bCs/>
      <w:sz w:val="18"/>
      <w:szCs w:val="1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rPr>
      <w:sz w:val="18"/>
      <w:szCs w:val="18"/>
    </w:rPr>
  </w:style>
  <w:style w:type="paragraph" w:styleId="Ttulo">
    <w:name w:val="Title"/>
    <w:basedOn w:val="Normal"/>
    <w:uiPriority w:val="1"/>
    <w:qFormat/>
    <w:pPr>
      <w:spacing w:before="12"/>
      <w:ind w:left="60"/>
    </w:pPr>
    <w:rPr>
      <w:sz w:val="20"/>
      <w:szCs w:val="20"/>
    </w:rPr>
  </w:style>
  <w:style w:type="paragraph" w:styleId="Prrafodelista">
    <w:name w:val="List Paragraph"/>
    <w:basedOn w:val="Normal"/>
    <w:uiPriority w:val="1"/>
    <w:qFormat/>
    <w:pPr>
      <w:ind w:left="1339" w:right="255" w:hanging="360"/>
    </w:pPr>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mailto:conac_sriotecnico@hacienda.gob.mx" TargetMode="Externa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1142</Words>
  <Characters>6283</Characters>
  <Application>Microsoft Office Word</Application>
  <DocSecurity>0</DocSecurity>
  <Lines>52</Lines>
  <Paragraphs>14</Paragraphs>
  <ScaleCrop>false</ScaleCrop>
  <HeadingPairs>
    <vt:vector size="2" baseType="variant">
      <vt:variant>
        <vt:lpstr>Título</vt:lpstr>
      </vt:variant>
      <vt:variant>
        <vt:i4>1</vt:i4>
      </vt:variant>
    </vt:vector>
  </HeadingPairs>
  <TitlesOfParts>
    <vt:vector size="1" baseType="lpstr">
      <vt:lpstr/>
    </vt:vector>
  </TitlesOfParts>
  <Company>Secretaria de Hacienda y Credito Publico</Company>
  <LinksUpToDate>false</LinksUpToDate>
  <CharactersWithSpaces>7411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julio_dominguez</dc:creator>
  <cp:lastModifiedBy>USUARIO</cp:lastModifiedBy>
  <cp:revision>2</cp:revision>
  <dcterms:created xsi:type="dcterms:W3CDTF">2025-12-26T22:20:00Z</dcterms:created>
  <dcterms:modified xsi:type="dcterms:W3CDTF">2025-12-26T22:20:00Z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2014-12-01T00:00:00Z</vt:filetime>
  </property>
  <property fmtid="{D5CDD505-2E9C-101B-9397-08002B2CF9AE}" pid="3" name="Creator">
    <vt:lpwstr>Acrobat PDFMaker 11 for Word</vt:lpwstr>
  </property>
  <property fmtid="{D5CDD505-2E9C-101B-9397-08002B2CF9AE}" pid="4" name="LastSaved">
    <vt:filetime>2025-12-26T00:00:00Z</vt:filetime>
  </property>
  <property fmtid="{D5CDD505-2E9C-101B-9397-08002B2CF9AE}" pid="5" name="Producer">
    <vt:lpwstr>Adobe PDF Library 11.0</vt:lpwstr>
  </property>
  <property fmtid="{D5CDD505-2E9C-101B-9397-08002B2CF9AE}" pid="6" name="SourceModified">
    <vt:lpwstr>D:20141201215430</vt:lpwstr>
  </property>
</Properties>
</file>