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701" w:rsidRPr="00FC5701" w:rsidRDefault="00FC5701">
      <w:pPr>
        <w:rPr>
          <w:b/>
        </w:rPr>
      </w:pPr>
      <w:r>
        <w:rPr>
          <w:noProof/>
          <w:lang w:eastAsia="es-MX"/>
        </w:rPr>
        <w:drawing>
          <wp:inline distT="0" distB="0" distL="0" distR="0" wp14:anchorId="57EBF7D8" wp14:editId="12900DC3">
            <wp:extent cx="1481199" cy="417548"/>
            <wp:effectExtent l="0" t="0" r="5080" b="1905"/>
            <wp:docPr id="3" name="Imagen 2" descr="C:\Users\USUARIO\Downloads\WhatsApp Image 2024-10-21 at 10.58.36 AM.jpe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C:\Users\USUARIO\Downloads\WhatsApp Image 2024-10-21 at 10.58.36 AM.jpeg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495" cy="4486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</w:t>
      </w:r>
      <w:r w:rsidRPr="00FC5701">
        <w:rPr>
          <w:b/>
        </w:rPr>
        <w:t>MUNICIPIO DE PUEBLA</w:t>
      </w:r>
    </w:p>
    <w:p w:rsidR="00FC5701" w:rsidRPr="00FC5701" w:rsidRDefault="00FC5701" w:rsidP="00FC5701">
      <w:pPr>
        <w:jc w:val="center"/>
        <w:rPr>
          <w:b/>
        </w:rPr>
      </w:pPr>
      <w:r w:rsidRPr="00FC5701">
        <w:rPr>
          <w:b/>
        </w:rPr>
        <w:t>PRESUPUESTO DE EGRESOS PARA EL EJERCICIO FISCAL 2025</w:t>
      </w:r>
    </w:p>
    <w:p w:rsidR="00FC5701" w:rsidRDefault="00FC5701" w:rsidP="00FC5701">
      <w:pPr>
        <w:jc w:val="center"/>
      </w:pPr>
      <w:r w:rsidRPr="00FC5701">
        <w:rPr>
          <w:b/>
        </w:rPr>
        <w:t>PROGRAMAS Y PROYECTOS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Seguridad y Paz Social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Gobernanza y Fortalecimiento Institucional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Impulso e Innovación Económica y Turística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Desarrollo y Crecimiento Urbano Responsable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Movilidad Segura e Infraestructura Resiliente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Ciudad Verde y Responsable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Espacios y Servicios Públicos Dignos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Centro Histórico; Patrimonio Presente y Futuro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Puebla Limpia y Responsable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Economía y Responsabilidad Pública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Bienestar Social y Participación Ciudadana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Igualdad Sustantiva de Género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Familias Prósperas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Unidos por el Deporte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Jóvenes Imparables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Cultura y Desarrollo Artístico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Gobierno Ciudadano y Efectivo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Conservación del Patrimonio Inmobiliario y Documental del Municipio con Legalidad y Seguridad Jurídica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Innovación Administrativa y Transformación Digital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Manejo Eficiente de las Finanzas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Auditoría y Combate a la Corrupción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Legalidad y Justicia Ciudadana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Planeación Participativa y Evaluación de Resultados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Cabildo Abierto y Democrático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Acceso a la Información y Transparencia Activa</w:t>
            </w:r>
          </w:p>
        </w:tc>
      </w:tr>
      <w:tr w:rsidR="00FC5701" w:rsidRPr="00FC5701" w:rsidTr="0067326E">
        <w:trPr>
          <w:trHeight w:val="390"/>
        </w:trPr>
        <w:tc>
          <w:tcPr>
            <w:tcW w:w="8828" w:type="dxa"/>
            <w:noWrap/>
            <w:vAlign w:val="center"/>
            <w:hideMark/>
          </w:tcPr>
          <w:p w:rsidR="00FC5701" w:rsidRPr="00FC5701" w:rsidRDefault="00FC5701" w:rsidP="00FC5701">
            <w:pPr>
              <w:jc w:val="both"/>
            </w:pPr>
            <w:r w:rsidRPr="00FC5701">
              <w:t>Comunicación Asertiva y Puntual</w:t>
            </w:r>
          </w:p>
        </w:tc>
      </w:tr>
    </w:tbl>
    <w:p w:rsidR="00FC5701" w:rsidRDefault="00FC5701">
      <w:bookmarkStart w:id="0" w:name="_GoBack"/>
      <w:bookmarkEnd w:id="0"/>
    </w:p>
    <w:sectPr w:rsidR="00FC57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01"/>
    <w:rsid w:val="0067326E"/>
    <w:rsid w:val="008729D7"/>
    <w:rsid w:val="00FC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497F5E-2CFA-4EC5-A0A4-067A5A08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C5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952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2025-01-08T19:25:00Z</dcterms:created>
  <dcterms:modified xsi:type="dcterms:W3CDTF">2025-01-08T20:24:00Z</dcterms:modified>
</cp:coreProperties>
</file>