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ACD" w:rsidRPr="00AD165E" w:rsidRDefault="00EF1ACD" w:rsidP="00EF1ACD">
      <w:pPr>
        <w:pStyle w:val="Sinespaciado"/>
        <w:rPr>
          <w:rFonts w:ascii="Avenir-Book" w:hAnsi="Avenir-Book"/>
        </w:rPr>
      </w:pPr>
      <w:bookmarkStart w:id="0" w:name="_GoBack"/>
      <w:bookmarkEnd w:id="0"/>
      <w:r w:rsidRPr="00AD165E">
        <w:rPr>
          <w:rFonts w:ascii="Avenir-Book" w:hAnsi="Avenir-Book"/>
        </w:rPr>
        <w:t xml:space="preserve">HONORABLE CABILDO: </w:t>
      </w:r>
    </w:p>
    <w:p w:rsidR="00DE5E4C" w:rsidRPr="00AD165E" w:rsidRDefault="00DE5E4C" w:rsidP="00EF1ACD">
      <w:pPr>
        <w:pStyle w:val="Sinespaciado"/>
        <w:rPr>
          <w:rFonts w:ascii="Avenir-Book" w:hAnsi="Avenir-Book"/>
        </w:rPr>
      </w:pPr>
    </w:p>
    <w:p w:rsidR="00EF1ACD" w:rsidRPr="00AD165E" w:rsidRDefault="00EF1ACD" w:rsidP="00EF1ACD">
      <w:pPr>
        <w:jc w:val="both"/>
        <w:rPr>
          <w:rFonts w:ascii="Avenir-Book" w:hAnsi="Avenir-Book"/>
          <w:b/>
        </w:rPr>
      </w:pPr>
      <w:r w:rsidRPr="00AD165E">
        <w:rPr>
          <w:rFonts w:ascii="Avenir-Book" w:hAnsi="Avenir-Book"/>
          <w:b/>
        </w:rPr>
        <w:t>LOS SUSCRITOS REGIDORES PATRICIA MONTAÑO FLORES, MARÍA ISABEL CORTES SANTIAGO, MARÍA ROSA MÁRQUEZ CABRERA, LIBERTAD AGUIRRE JUNCO, SILVIA GUILLERMINA TANUS OSORIO, JACOBO ORDAZ MORENO; INTEGRANTES DE LA COMISIÓN DE PATRIMONIO Y HACIENDA PÚBLICA,</w:t>
      </w:r>
      <w:r w:rsidRPr="00AD165E">
        <w:rPr>
          <w:rFonts w:ascii="Avenir-Book" w:hAnsi="Avenir-Book"/>
        </w:rPr>
        <w:t xml:space="preserve"> CON FUNDAMENTO EN LO DISPUESTO POR LOS ARTÍCULOS 115 FRACCIONES I PRIMER PÁRRAFO, II Y IV, DE LA CONSTITUCIÓN POLÍTICA DE LOS ESTADOS UNIDOS MEXICANOS; 1, 2, FRACCIONES II, VII y XXXIII, </w:t>
      </w:r>
      <w:r w:rsidR="005263A1" w:rsidRPr="00AD165E">
        <w:rPr>
          <w:rFonts w:ascii="Avenir-Book" w:hAnsi="Avenir-Book"/>
        </w:rPr>
        <w:t xml:space="preserve">5, 6, </w:t>
      </w:r>
      <w:r w:rsidRPr="00AD165E">
        <w:rPr>
          <w:rFonts w:ascii="Avenir-Book" w:hAnsi="Avenir-Book"/>
        </w:rPr>
        <w:t xml:space="preserve">8, 9, 10 FRACCIÓN I INCISOS A) Y B), FRACCIÓN II, 18, 19, 20, 21, 61, 62, 64 Y 65 DE LA LEY DE DISCIPLINA FINANCIERA DE LAS ENTIDADES FEDERATIVAS Y SUS MUNICIPIOS; 102 Y 103 DE LA CONSTITUCIÓN POLÍTICA DEL ESTADO LIBRE Y SOBERANO DE PUEBLA; 2, 3, 46, </w:t>
      </w:r>
      <w:r w:rsidR="005263A1" w:rsidRPr="00AD165E">
        <w:rPr>
          <w:rFonts w:ascii="Avenir-Book" w:hAnsi="Avenir-Book"/>
        </w:rPr>
        <w:t xml:space="preserve">47, </w:t>
      </w:r>
      <w:r w:rsidRPr="00AD165E">
        <w:rPr>
          <w:rFonts w:ascii="Avenir-Book" w:hAnsi="Avenir-Book"/>
        </w:rPr>
        <w:t xml:space="preserve">78 FRACCIONES I Y IX, </w:t>
      </w:r>
      <w:r w:rsidR="005263A1" w:rsidRPr="00AD165E">
        <w:rPr>
          <w:rFonts w:ascii="Avenir-Book" w:hAnsi="Avenir-Book"/>
        </w:rPr>
        <w:t xml:space="preserve">84, </w:t>
      </w:r>
      <w:r w:rsidRPr="00AD165E">
        <w:rPr>
          <w:rFonts w:ascii="Avenir-Book" w:hAnsi="Avenir-Book"/>
        </w:rPr>
        <w:t xml:space="preserve">92, FRACCIONES III Y V, 94, 96, FRACCIÓN II, 140, 141 FRACCIONES I Y II; </w:t>
      </w:r>
      <w:r w:rsidR="005263A1" w:rsidRPr="00AD165E">
        <w:rPr>
          <w:rFonts w:ascii="Avenir-Book" w:hAnsi="Avenir-Book"/>
        </w:rPr>
        <w:t xml:space="preserve">143, </w:t>
      </w:r>
      <w:r w:rsidRPr="00AD165E">
        <w:rPr>
          <w:rFonts w:ascii="Avenir-Book" w:hAnsi="Avenir-Book"/>
        </w:rPr>
        <w:t>145, 146, 147, 148</w:t>
      </w:r>
      <w:r w:rsidR="005263A1" w:rsidRPr="00AD165E">
        <w:rPr>
          <w:rFonts w:ascii="Avenir-Book" w:hAnsi="Avenir-Book"/>
        </w:rPr>
        <w:t>, 149</w:t>
      </w:r>
      <w:r w:rsidRPr="00AD165E">
        <w:rPr>
          <w:rFonts w:ascii="Avenir-Book" w:hAnsi="Avenir-Book"/>
        </w:rPr>
        <w:t xml:space="preserve"> Y 150 DE LA LEY ORGÁNICA MUNICIPAL; 294, 296, 297, 298, 299, 300, 301, 302 DEL CÓDIGO FISCAL Y PRESUPUESTARIO PARA EL MUNICIPIO DE PUEBLA, 1 Y 20 DEL CÓDIGO REGLAMENTARIO PARA EL MUNICIPIO DE PUEBLA; 1, 12, FRACCIONES VII Y XVI, 92, 97, 114 FRACCIONES III Y IX DEL REGLAMENTO INTERIOR DE CABILDO Y COMISIONES DEL HONORABLE AYUNTAMIENTO DEL MUNICIPIO DE PUEBLA, SOMETEMOS PARA SU DISCUSIÓN Y APROBACIÓN A ESTE CUERPO COLEGIADO EL PRESENTE:</w:t>
      </w:r>
      <w:r w:rsidRPr="00AD165E">
        <w:rPr>
          <w:rFonts w:ascii="Avenir-Book" w:hAnsi="Avenir-Book"/>
          <w:b/>
        </w:rPr>
        <w:t xml:space="preserve"> DICTAMEN POR EL QUE </w:t>
      </w:r>
      <w:r w:rsidR="005A7F37" w:rsidRPr="00AD165E">
        <w:rPr>
          <w:rFonts w:ascii="Avenir-Book" w:hAnsi="Avenir-Book"/>
          <w:b/>
        </w:rPr>
        <w:t>S</w:t>
      </w:r>
      <w:r w:rsidRPr="00AD165E">
        <w:rPr>
          <w:rFonts w:ascii="Avenir-Book" w:hAnsi="Avenir-Book"/>
          <w:b/>
        </w:rPr>
        <w:t>E</w:t>
      </w:r>
      <w:r w:rsidR="005A7F37" w:rsidRPr="00AD165E">
        <w:rPr>
          <w:rFonts w:ascii="Avenir-Book" w:hAnsi="Avenir-Book"/>
          <w:b/>
        </w:rPr>
        <w:t xml:space="preserve"> APRUEBA</w:t>
      </w:r>
      <w:r w:rsidRPr="00AD165E">
        <w:rPr>
          <w:rFonts w:ascii="Avenir-Book" w:hAnsi="Avenir-Book"/>
          <w:b/>
        </w:rPr>
        <w:t xml:space="preserve"> EL PRESUPUESTO DE EGRESOS DEL HONORABLE AYUNTAMIENTO DEL MUNICIPIO DE PUEBLA PARA EL EJERCICIO FISCAL 2019:</w:t>
      </w:r>
    </w:p>
    <w:p w:rsidR="00EF1ACD" w:rsidRPr="00AD165E" w:rsidRDefault="00EF1ACD" w:rsidP="00EF1ACD">
      <w:pPr>
        <w:jc w:val="center"/>
        <w:rPr>
          <w:rFonts w:ascii="Avenir-Book" w:hAnsi="Avenir-Book"/>
          <w:b/>
        </w:rPr>
      </w:pPr>
    </w:p>
    <w:p w:rsidR="00EF1ACD" w:rsidRPr="00AD165E" w:rsidRDefault="00EF1ACD" w:rsidP="00EF1ACD">
      <w:pPr>
        <w:jc w:val="center"/>
        <w:rPr>
          <w:rFonts w:ascii="Avenir-Book" w:hAnsi="Avenir-Book"/>
          <w:b/>
        </w:rPr>
      </w:pPr>
      <w:r w:rsidRPr="00AD165E">
        <w:rPr>
          <w:rFonts w:ascii="Avenir-Book" w:hAnsi="Avenir-Book"/>
          <w:b/>
        </w:rPr>
        <w:t>C O N S I D E R A N D O</w:t>
      </w:r>
      <w:r w:rsidR="0020279A" w:rsidRPr="00AD165E">
        <w:rPr>
          <w:rFonts w:ascii="Avenir-Book" w:hAnsi="Avenir-Book"/>
          <w:b/>
        </w:rPr>
        <w:t xml:space="preserve"> S</w:t>
      </w:r>
    </w:p>
    <w:p w:rsidR="00EF1ACD" w:rsidRPr="00AD165E" w:rsidRDefault="00EF1ACD" w:rsidP="00EF1ACD">
      <w:pPr>
        <w:jc w:val="center"/>
        <w:rPr>
          <w:rFonts w:ascii="Avenir-Book" w:hAnsi="Avenir-Book"/>
          <w:b/>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De acuerdo con el artículo II de la Carta Mundial por el Derecho a la Ciudad, la Ciudad de Puebla debe ejercer una función social, garantizando a todos sus habitantes el usufructo pleno de los recursos que la misma ciudad ofrece. Es decir, debe asumir la realización de proyectos e inversiones en beneficio de la comunidad urbana en su conjunto, dentro de criterios de equidad distributiva, complementariedad económica, respeto a la cultura y sustentabilidad ecológica, para garantizar el bienestar de todos y todas los(as) habitantes, en armonía con la naturaleza, para hoy y para las futuras generaciones, lo cual constituye uno de los ejes rectores del Presupuesto de Egresos para el ejercicio fiscal 2019. </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Con fundamento en los artículos 115 fracciones I primer párrafo, II y IV, de la Constitución Política de los Estados Unidos Mexicanos, 102 y 103 de la Constitución </w:t>
      </w:r>
      <w:r w:rsidRPr="00AD165E">
        <w:rPr>
          <w:rFonts w:ascii="Avenir-Book" w:hAnsi="Avenir-Book"/>
        </w:rPr>
        <w:lastRenderedPageBreak/>
        <w:t>Política del Estado Libre y Soberano de Puebla, así como los diversos 1, 2, 3, 140, 143, 147 y demás relativos de la Ley Orgánica Municipal, 1, 2 fracciones II, VII, XXXIII, 8, 9, 10 fracción I incisos a) y b) y II, 18 fracción I párrafo segundo, 19, 20, 21, en estrecha armonía con los artículos 61, 62, 64, 65, y demás aplicables de la Ley de Disciplina Financiera de las Entidades Federativas y los Municipios; el Honorable Ayuntamiento del Municipio de Puebla, es un órgano de gobierno de elección popular y directa de una Entidad de derecho público, integrado por un Presidente Municipal y el número de regidores y síndicos que la ley determine, con personalidad jurídica y patrimonio propio; con la facultad para administrar libremente su hacienda, la cual se conforma de los rendimientos de los bienes que le pertenezcan, de las contribuciones y otros ingresos determinadas a su favor por la legislatura local, en cada Ley de Ingresos correspondiente, así como por participaciones federales; teniendo como propósito satisfacer en el ámbito de su respectiva competencia, las necesidades colectivas de la población que se encuentra asentada en su territorio, así como inducir y organizar la participación de los ciudadanos en la promoción del desarrollo integral del Municipio, por lo que, para realizar dichas acciones y mantener una eficiente y eficaz administración, los referidos ordenamientos legales, lo proveen de autonomía propia y por consiguiente le otorgan la facultad de aprobar cada año su respectivo Presupuesto de Egresos, en el caso que nos ocupa el del 2019, con base en los ingresos de que disponga.</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en términos del artículo 103 de la Constitución Política del Estado Libre y Soberano de Puebla, los artículos 140 y 141 fracción I de la Ley Orgánica Municipal establecen que los ingresos del Honorable Ayuntamiento del Municipio de Puebla, constituyen la universalidad de los derechos y acciones que pueden valorarse económicamente y se encuentran destinados a la realización de sus fines, integrando la Hacienda Pública Municipal junto con aquellos bienes y derechos que por cualquier título le transfieran la Federación, el Estado, otros Municipios, los particulares o cualquier otro organismo público o privado, siendo integrada la Hacienda Pública Municipal por las contribuciones y demás ingresos determinados en las leyes hacendarias de los Municipios.</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cs="Arial"/>
          <w:color w:val="000000" w:themeColor="text1"/>
        </w:rPr>
        <w:t xml:space="preserve">Tratándose del primer ejercicio de la Administración Municipal, los trabajos desarrollados sobre el presupuesto de egresos son el inicio de la reingeniería del gasto público que durante el primer semestre del año 2019 se consolidará para lograr que los </w:t>
      </w:r>
      <w:r w:rsidRPr="00AD165E">
        <w:rPr>
          <w:rFonts w:ascii="Avenir-Book" w:hAnsi="Avenir-Book" w:cs="Arial"/>
          <w:color w:val="000000" w:themeColor="text1"/>
          <w:sz w:val="23"/>
          <w:szCs w:val="23"/>
          <w:shd w:val="clear" w:color="auto" w:fill="FFFFFF"/>
        </w:rPr>
        <w:t xml:space="preserve">recursos económicos de que dispone el municipio se administren con eficiencia, eficacia, economía, transparencia y honradez para satisfacer los objetivos a los que </w:t>
      </w:r>
      <w:r w:rsidRPr="00AD165E">
        <w:rPr>
          <w:rFonts w:ascii="Avenir-Book" w:hAnsi="Avenir-Book" w:cs="Arial"/>
          <w:color w:val="000000" w:themeColor="text1"/>
          <w:sz w:val="23"/>
          <w:szCs w:val="23"/>
          <w:shd w:val="clear" w:color="auto" w:fill="FFFFFF"/>
        </w:rPr>
        <w:lastRenderedPageBreak/>
        <w:t xml:space="preserve">estén destinados para dar cumplimiento a lo que establece el artículo 134º  constitucional en relación al 147 de la Ley Orgánica Municipal. En el proceso de reconstrucción presupuestal se ha venido velando por el </w:t>
      </w:r>
      <w:r w:rsidRPr="00AD165E">
        <w:rPr>
          <w:rFonts w:ascii="Avenir-Book" w:hAnsi="Avenir-Book"/>
        </w:rPr>
        <w:t xml:space="preserve">principio de justicia social para lograr la distribución equitativa de los recursos municipales en función de las necesidades prioritarias de la población poblana como lo es el bienestar social, la seguridad pública y el desarrollo económico bajo un enfoque social. </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 En estas condiciones,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 Los ingresos ordinarios son las percepciones que constituyen la fuente normal y periódica de recursos fiscales y están contenidos en los presupuestos de ingresos permitiendo financiar sus actividades; mientras que los extraordinarios, son aquellos que emite el Congreso o los derivados de disposiciones administrativas para atender erogaciones imprevistas o por derivarse de normas o actos posteriores al inicio de un ejercicio fiscal.</w:t>
      </w:r>
    </w:p>
    <w:p w:rsidR="0020279A" w:rsidRPr="00AD165E" w:rsidRDefault="0020279A" w:rsidP="0020279A">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Que las contribuciones municipales de conformidad con el artículo 167 del Código Fiscal y Presupuestario para el Municipio de Puebla, se clasifican en impuestos, derechos y aportaciones de mejoras; las cuales se definen de la siguiente manera: impuestos, son las contribuciones establecidas en la ley que deben pagar las personas físicas y morales, que se encuentran en la situación jurídica o de hecho prevista por la misma y que sean distintas 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w:t>
      </w:r>
      <w:r w:rsidRPr="00AD165E">
        <w:rPr>
          <w:rFonts w:ascii="Avenir-Book" w:hAnsi="Avenir-Book"/>
        </w:rPr>
        <w:lastRenderedPageBreak/>
        <w:t>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20279A" w:rsidRPr="00AD165E" w:rsidRDefault="0020279A" w:rsidP="0020279A">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las tasas, cuotas y/o tarifas de las contribuciones municipales, deben de estar debidamente determinadas en la Ley de Ingresos, que la legislatura local apruebe, la cual hace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20279A" w:rsidRPr="00AD165E" w:rsidRDefault="0020279A" w:rsidP="0020279A">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de conformidad con lo dispuesto en el artículo 169 del Código Fiscal y Presupuestario para el Municipio de Puebla, los aprovechamientos también son ingresos que percibe el Municipio por funciones de derecho público, distintos de las contribuciones, que derivan de financiamientos y de los que obtengan los organismos públicos descentralizados.</w:t>
      </w:r>
    </w:p>
    <w:p w:rsidR="0020279A" w:rsidRPr="00AD165E" w:rsidRDefault="0020279A" w:rsidP="0020279A">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por otro lado es facultad del Honorable Ayuntamiento del Municipio de Puebla, conforme a lo establecido en el artículo 78 fracción IV de la Ley Orgánica Municipal, emitir disposiciones administrativas de observancia general, relativas a su organización, funcionamiento y servicios públicos que deba prestar, así como vigilar que los gastos municipales se efectúen con estricto apego al presupuesto, bajo criterios de disciplina, racionalidad y austeridad, sujetándose siempre a las bases normativas establecidas por la Constitución Política del Estado Libre y Soberano de Puebla.</w:t>
      </w:r>
    </w:p>
    <w:p w:rsidR="0020279A" w:rsidRPr="00AD165E" w:rsidRDefault="0020279A" w:rsidP="0020279A">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Que también es facultad de los Ayuntamientos, aprobar el Presupuesto de Egresos de cada año, a más tardar dentro de los cinco días siguientes a aquel en el que se haya aprobado por el Congreso local la Ley de Ingresos del Municipio que estará vigente para el próximo año; con base en los ingresos disponibles para cada ejercicio fiscal, presupuesto que deberá ser enviado al Ejecutivo del Estado para que ordene su </w:t>
      </w:r>
      <w:r w:rsidRPr="00AD165E">
        <w:rPr>
          <w:rFonts w:ascii="Avenir-Book" w:hAnsi="Avenir-Book"/>
        </w:rPr>
        <w:lastRenderedPageBreak/>
        <w:t>publicación en el Periódico Oficial del Estado, remitiendo copia del mismo a la Auditoría Superior del Estado de Puebla, en términos de lo establecido por la fracción IX del artículo 78 de la Ley Orgánica Municipal y el artículo 297 del Código Fiscal y Presupuestario para el Municipio de Puebla sin que sea óbice hacer la precisión que los Municipios deberán incluir en sus proyectos presupuestales de Egresos, las proyecciones a que se contraen los formatos emitidos por el Consejo Nacional de Armonización Contable, abarcando un periodo de tres años en adición ejercicio Fiscal en cuestión, tal como lo prevé el artículo 18 en su fracción I párrafo segundo de la Ley de Disciplina Financiera de las Entidades Federativas y los Municipios.</w:t>
      </w:r>
    </w:p>
    <w:p w:rsidR="0020279A" w:rsidRPr="00AD165E" w:rsidRDefault="0020279A" w:rsidP="0020279A">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en el caso concreto, el Ayuntamiento que administra la Hacienda Pública y gobierna en el Municipio de Puebla, está conformado por un Cuerpo Colegiado al que se le denomina Honorable Ayuntamiento del Municipio de Puebla, integrado por una Presidenta Municipal Constitucional, dieciséis Regidoras y Regidores de Mayoría, seis Regidoras y Regidores acreditados de acuerdo al principio de Representación Proporcional y un Síndico Municipal, conforme a lo establecido en los artículos 102, fracción I inciso a), de la Constitución Política del Estado Libre y Soberano de Puebla; 46 fracción I y 47, fracción I de la Ley Orgánica Municipal; Cuerpo Edilicio que deberá aprobar cada año el Presupuesto de Egresos del Honorable Ayuntamiento del Municipio de Puebla.</w:t>
      </w:r>
    </w:p>
    <w:p w:rsidR="0020279A" w:rsidRPr="00AD165E" w:rsidRDefault="0020279A" w:rsidP="0020279A">
      <w:pPr>
        <w:pStyle w:val="Prrafodelista"/>
        <w:rPr>
          <w:rFonts w:ascii="Avenir-Book" w:hAnsi="Avenir-Book"/>
        </w:rPr>
      </w:pPr>
    </w:p>
    <w:p w:rsidR="00EF1ACD"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los Regidores integrantes del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Comisiones permanentes, como es el caso de la Comisión de Patrimonio y Hacienda Pública; la</w:t>
      </w:r>
      <w:r w:rsidR="0020279A" w:rsidRPr="00AD165E">
        <w:rPr>
          <w:rFonts w:ascii="Avenir-Book" w:hAnsi="Avenir-Book"/>
        </w:rPr>
        <w:t>s</w:t>
      </w:r>
      <w:r w:rsidRPr="00AD165E">
        <w:rPr>
          <w:rFonts w:ascii="Avenir-Book" w:hAnsi="Avenir-Book"/>
        </w:rPr>
        <w:t xml:space="preserve"> cual</w:t>
      </w:r>
      <w:r w:rsidR="0020279A" w:rsidRPr="00AD165E">
        <w:rPr>
          <w:rFonts w:ascii="Avenir-Book" w:hAnsi="Avenir-Book"/>
        </w:rPr>
        <w:t>es</w:t>
      </w:r>
      <w:r w:rsidRPr="00AD165E">
        <w:rPr>
          <w:rFonts w:ascii="Avenir-Book" w:hAnsi="Avenir-Book"/>
        </w:rPr>
        <w:t xml:space="preserve"> tienen por objeto, el estudio, análisis y la elaboración de dictámenes y/o propuestas al Honorable Ayuntamiento en pleno, de los problemas de los distintos ramos de la Administración Pública Municipal; de acuerdo con lo establecido en los artículos 92 fracción III y 96 fracción II, de la Ley Orgánica Municipal; así como 12 fracciones VII y XVI, 92, 97, 114 fracciones III y IX del Reglamento Interior de Cabildo y Comisiones del Honorable Ayuntamiento de Puebla.</w:t>
      </w:r>
    </w:p>
    <w:p w:rsidR="002174E1" w:rsidRPr="002174E1" w:rsidRDefault="002174E1" w:rsidP="002174E1">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el artículo 92 fracciones I, III, V y VII y 94 de la Ley Orgánica Municipal, establecen que es facultad y obligación de los Regidores, ejercer la debida inspección y vigilancia en los ramos a su cargo, formar parte de las Comisiones para las que fueren designados por el Honorable Ayuntamiento, así como dictaminar e informar sobre los asuntos que se les encomiende y facilitar su despacho.</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los artículos 78, fracción IX, 91 fracción LIII, 145 y 166 fracción XVI de la Ley Orgánica Municipal respectivamente, disponen que, la Comisión de Patrimonio y Hacienda Pública y las demás Comisiones que en su caso determine el Honorable Ayuntamiento del Municipio de Puebla, en la primera quincena del mes de octubre de cada año, deberán elaborar el anteproyecto de Ley de Ingresos y del Presupuesto de Egresos para el ejercicio fiscal inmediato; éste último deberá ser presentado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con la colaboración de la Tesorería Municipal del Honorable Ayuntamiento del Municipio de Puebla, cuyo titular tiene la obligación y facultad de proporcionar de manera oportuna, todos los datos e informes que sean necesarios para la formulación de dicho presupuesto, vigilando siempre que se ajusten a las disposiciones municipales y otros ordenamientos aplicables. Asimismo, los artículos invocados resaltan que es facultad y obligación de la Presidenta Municipal Constitucional, en su carácter garantista de promover y vigilar la formulación del proyecto de Presupuesto de Egresos para el ejercicio fiscal inmediato y someterlo a consideración del Cuerpo Colegiado del Honorable Ayuntamiento para su aprobación y publicación en el Periódico Oficial del Estado.</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con base en todo lo anteriormente expuesto y debidamente fundamentado, la Comisión de Patrimonio y Hacienda Pública, hace de su  conocimiento al Honorable Ayuntamiento del Municipio de Puebla, que fue presentada de manera eficaz y oportuna la información necesaria por parte de la Tesorería del Honorable Ayuntamiento del Municipio de Puebla, a efecto de formular el anteproyecto y Proyecto de Presupuesto de Egresos, dentro del plazo mencionado en la fracción anterior, que a su vez fue la base del Presupuesto de Egresos que en este dictamen se somete a consideración.</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de conformidad con el artículo 134 de la Constitución Política de los Estados Unidos Mexicanos, los recursos económicos de que dispongan los tres niveles de gobierno se deberán administrar con eficiencia, eficacia, economía, transparencia y honradez, para satisfacer los objetivos a los que estén destinados y evaluar los resultados de su ejercicio, para propiciar eficiencia en el destino de los recursos. La herramienta para dar cumplimiento a ese aspecto es el Presupuesto Basado en Resultados (</w:t>
      </w:r>
      <w:r w:rsidR="0020279A" w:rsidRPr="00AD165E">
        <w:rPr>
          <w:rFonts w:ascii="Avenir-Book" w:hAnsi="Avenir-Book"/>
        </w:rPr>
        <w:t>PBR</w:t>
      </w:r>
      <w:r w:rsidRPr="00AD165E">
        <w:rPr>
          <w:rFonts w:ascii="Avenir-Book" w:hAnsi="Avenir-Book"/>
        </w:rPr>
        <w:t>),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 El objetivo de dicha herramienta es entregar mejores bienes y servicios públicos a la población, elevar la calidad del gasto público y promover una adecuada rendición de cuentas y transparencia.</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con base en los artículos 146 y 148 de la Ley Orgánica Municipal y 298 del Código Fiscal y Presupuestario para el Municipio de Puebla, el Presupuesto de Egresos que se proyecta para el ejercicio fiscal dos mil diecinueve se basó en los resultados que se obtuvieron de los programas y evaluación que se realizaron a las Dependencias y Entidades del Ayuntamiento del Municipio de Puebla.</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según lo estipulado en el artículo 294 del Código Fiscal y Presupuestario para el Municipio de Puebla, el gasto público municipal se basará en presupuestos que se formularán con apoyo en programas que señalen objetivos, metas y unidades responsables de su ejecución. Los presupuestos se elaborarán para cada año calendario y se fundarán en costos.</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según lo establecido en el artículo 196 del Código Fiscal y Presupuestario para el Municipio de Puebla, el Presupuesto de Egresos para el Municipio será el que apruebe el Cabildo, durante el período de un año a partir del 1º de enero.</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dando cumplimiento al proceso de armonización contable fundamentado en los artículos 1, 2, 16 y 17 de la Ley General de Contabilidad Gubernamental, se concluye que el presente Presupuesto de Egresos contiene elementos que cumplen con la Constitución Federal, en estricto apego a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 la administración de la deuda pública, incluyendo las obligaciones contingentes y el patrimonio respectivo.</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con base en el artículo 44 de la Ley General de Contabilidad Gubernamental, 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cumplir con la armonización contable.</w:t>
      </w:r>
    </w:p>
    <w:p w:rsidR="00EF1ACD" w:rsidRPr="00AD165E" w:rsidRDefault="00EF1ACD" w:rsidP="00EF1ACD">
      <w:pPr>
        <w:pStyle w:val="Prrafodelista"/>
        <w:rPr>
          <w:rFonts w:ascii="Avenir-Book" w:hAnsi="Avenir-Book"/>
        </w:rPr>
      </w:pPr>
    </w:p>
    <w:p w:rsidR="00767C5B" w:rsidRDefault="00EF1ACD" w:rsidP="00767C5B">
      <w:pPr>
        <w:pStyle w:val="Prrafodelista"/>
        <w:numPr>
          <w:ilvl w:val="0"/>
          <w:numId w:val="23"/>
        </w:numPr>
        <w:ind w:left="0" w:firstLine="567"/>
        <w:jc w:val="both"/>
        <w:rPr>
          <w:rFonts w:ascii="Avenir-Book" w:hAnsi="Avenir-Book"/>
        </w:rPr>
      </w:pPr>
      <w:r w:rsidRPr="00AD165E">
        <w:rPr>
          <w:rFonts w:ascii="Avenir-Book" w:hAnsi="Avenir-Book"/>
        </w:rPr>
        <w:t xml:space="preserve">Que con fundamento en los artículos 46 y 48 de la Ley General de Contabilidad Gubernamental, aplicable al Ayuntamiento del Municipio, los sistemas contables deberán generar como mínimo la información contable y presupuestaria siguiente: </w:t>
      </w:r>
    </w:p>
    <w:p w:rsidR="002174E1" w:rsidRPr="002174E1" w:rsidRDefault="002174E1" w:rsidP="002174E1">
      <w:pPr>
        <w:pStyle w:val="Prrafodelista"/>
        <w:rPr>
          <w:rFonts w:ascii="Avenir-Book" w:hAnsi="Avenir-Book"/>
        </w:rPr>
      </w:pPr>
    </w:p>
    <w:p w:rsidR="00EF1ACD" w:rsidRPr="00AD165E" w:rsidRDefault="00EF1ACD" w:rsidP="00EF1ACD">
      <w:pPr>
        <w:pStyle w:val="Prrafodelista"/>
        <w:numPr>
          <w:ilvl w:val="1"/>
          <w:numId w:val="23"/>
        </w:numPr>
        <w:ind w:left="567" w:firstLine="284"/>
        <w:jc w:val="both"/>
        <w:rPr>
          <w:rFonts w:ascii="Avenir-Book" w:hAnsi="Avenir-Book"/>
        </w:rPr>
      </w:pPr>
      <w:r w:rsidRPr="00AD165E">
        <w:rPr>
          <w:rFonts w:ascii="Avenir-Book" w:hAnsi="Avenir-Book"/>
        </w:rPr>
        <w:t xml:space="preserve">Información contable, con la desagregación siguiente: </w:t>
      </w:r>
    </w:p>
    <w:p w:rsidR="00EF1ACD" w:rsidRPr="00AD165E" w:rsidRDefault="00EF1ACD" w:rsidP="00EF1ACD">
      <w:pPr>
        <w:pStyle w:val="Prrafodelista"/>
        <w:numPr>
          <w:ilvl w:val="2"/>
          <w:numId w:val="23"/>
        </w:numPr>
        <w:ind w:left="851" w:firstLine="283"/>
        <w:jc w:val="both"/>
        <w:rPr>
          <w:rFonts w:ascii="Avenir-Book" w:hAnsi="Avenir-Book"/>
        </w:rPr>
      </w:pPr>
      <w:r w:rsidRPr="00AD165E">
        <w:rPr>
          <w:rFonts w:ascii="Avenir-Book" w:hAnsi="Avenir-Book"/>
        </w:rPr>
        <w:t xml:space="preserve">Estado de actividades; </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 xml:space="preserve">Estado de situación financiera; </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Estado de variación en la hacienda pública;</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 xml:space="preserve">Estado de cambios en la situación financiera; </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Estado de flujos de efectivo;</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 xml:space="preserve">Notas a los estados financieros; </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Estado analítico del activo;</w:t>
      </w:r>
    </w:p>
    <w:p w:rsidR="00767C5B" w:rsidRPr="00AD165E" w:rsidRDefault="00767C5B" w:rsidP="00767C5B">
      <w:pPr>
        <w:pStyle w:val="Prrafodelista"/>
        <w:ind w:left="1135"/>
        <w:jc w:val="both"/>
        <w:rPr>
          <w:rFonts w:ascii="Avenir-Book" w:hAnsi="Avenir-Book"/>
        </w:rPr>
      </w:pPr>
    </w:p>
    <w:p w:rsidR="00EF1ACD" w:rsidRPr="00AD165E" w:rsidRDefault="00EF1ACD" w:rsidP="00EF1ACD">
      <w:pPr>
        <w:pStyle w:val="Prrafodelista"/>
        <w:numPr>
          <w:ilvl w:val="1"/>
          <w:numId w:val="23"/>
        </w:numPr>
        <w:ind w:left="567" w:firstLine="284"/>
        <w:jc w:val="both"/>
        <w:rPr>
          <w:rFonts w:ascii="Avenir-Book" w:hAnsi="Avenir-Book"/>
        </w:rPr>
      </w:pPr>
      <w:r w:rsidRPr="00AD165E">
        <w:rPr>
          <w:rFonts w:ascii="Avenir-Book" w:hAnsi="Avenir-Book"/>
        </w:rPr>
        <w:t xml:space="preserve">Información presupuestaria, con la desagregación siguiente: </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Estado analítico de ingresos, del que se derivará la presentación en clasificación económica por fuente de financiamiento y concepto, incluyendo los ingresos excedentes generados;</w:t>
      </w:r>
    </w:p>
    <w:p w:rsidR="00EF1ACD" w:rsidRPr="00AD165E" w:rsidRDefault="00EF1ACD" w:rsidP="00EF1ACD">
      <w:pPr>
        <w:pStyle w:val="Prrafodelista"/>
        <w:numPr>
          <w:ilvl w:val="2"/>
          <w:numId w:val="23"/>
        </w:numPr>
        <w:ind w:left="851" w:firstLine="284"/>
        <w:jc w:val="both"/>
        <w:rPr>
          <w:rFonts w:ascii="Avenir-Book" w:hAnsi="Avenir-Book"/>
        </w:rPr>
      </w:pPr>
      <w:r w:rsidRPr="00AD165E">
        <w:rPr>
          <w:rFonts w:ascii="Avenir-Book" w:hAnsi="Avenir-Book"/>
        </w:rPr>
        <w:t>Estado analítico del ejercicio del Presupuesto de Egresos del que se derivarán las clasificaciones siguientes: a) Administrativa; b) Económica; c) Por objeto del gasto, y d) Funcional.</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Que para dar cumplimiento a lo establecido por el artículo 61 de la Ley General de Contabilidad Gubernamental, el Presupuesto de Egresos incluye apartados 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w:t>
      </w:r>
    </w:p>
    <w:p w:rsidR="00EF1ACD" w:rsidRPr="00AD165E" w:rsidRDefault="00EF1ACD" w:rsidP="00EF1ACD">
      <w:pPr>
        <w:pStyle w:val="Prrafodelista"/>
        <w:ind w:left="567"/>
        <w:jc w:val="both"/>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Que el Presupuesto de Egresos para el ejercicio fiscal dos mil diecinueve, cumple de igual forma con lo dispuesto en la Ley General de los Derechos de Niñas, Niños y Adolescentes publicada en el Diario Oficial de la Federación el cuatro de diciembre de dos mil catorce, la cual establece en su artículo 2, que para garantizar la protección de los derechos de niñas, niños y adolescentes, las autoridades de la Federación, de las Entidades Federativas, de los Municipios y de las Delegaciones de la Ciudad de México, en el ámbito de sus respectivas atribuciones y competencias, deberán incorporar en sus proyectos de presupuesto la asignación de recursos que permitan dar cumplimiento a las acciones establecidas por esa Ley. </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En esta tesitura, se han observado diversas normas internacionales en la planeación programática y presupuestal como son los Objetivos del Desarrollo Sostenible de la Agenda 2030 entre los cuales se encuentran el combate a la pobreza en todas sus formas en todas partes, poner fin al hambre, lograr la seguridad alimentaria,</w:t>
      </w:r>
      <w:r w:rsidR="00A97230" w:rsidRPr="00AD165E">
        <w:rPr>
          <w:rFonts w:ascii="Avenir-Book" w:hAnsi="Avenir-Book"/>
        </w:rPr>
        <w:t xml:space="preserve"> educación de calidad,</w:t>
      </w:r>
      <w:r w:rsidRPr="00AD165E">
        <w:rPr>
          <w:rFonts w:ascii="Avenir-Book" w:hAnsi="Avenir-Book"/>
        </w:rPr>
        <w:t xml:space="preserve"> mejorar la nutrición y promover la agricultura sostenible, entre otros; así como la Carta Mundial por el Derecho a la Ciudad. </w:t>
      </w:r>
    </w:p>
    <w:p w:rsidR="00EF1ACD" w:rsidRPr="00AD165E" w:rsidRDefault="00EF1ACD" w:rsidP="00EF1ACD">
      <w:pPr>
        <w:pStyle w:val="Prrafodelista"/>
        <w:rPr>
          <w:rFonts w:ascii="Avenir-Book" w:hAnsi="Avenir-Book"/>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cs="Arial"/>
          <w:color w:val="000000" w:themeColor="text1"/>
          <w:shd w:val="clear" w:color="auto" w:fill="FFFFFF"/>
        </w:rPr>
        <w:t xml:space="preserve">Uno de los principios rectores en los trabajos sobre el Presupuesto de Egresos del municipio es la Austeridad Republicana expresada por el Presidente de la República Mexicana. Bajo este lineamiento se ha iniciado el Plan de Austeridad Municipal en la Ciudad de Puebla, generando así una economía significativa para su reorientación al gasto social. </w:t>
      </w:r>
    </w:p>
    <w:p w:rsidR="00A97230" w:rsidRPr="00AD165E" w:rsidRDefault="00A97230" w:rsidP="00A97230">
      <w:pPr>
        <w:pStyle w:val="Prrafodelista"/>
        <w:rPr>
          <w:rFonts w:ascii="Avenir-Book" w:hAnsi="Avenir-Book"/>
        </w:rPr>
      </w:pPr>
    </w:p>
    <w:p w:rsidR="002174E1" w:rsidRPr="002174E1" w:rsidRDefault="00A97230" w:rsidP="002174E1">
      <w:pPr>
        <w:pStyle w:val="Prrafodelista"/>
        <w:numPr>
          <w:ilvl w:val="0"/>
          <w:numId w:val="23"/>
        </w:numPr>
        <w:ind w:left="0" w:firstLine="567"/>
        <w:jc w:val="both"/>
        <w:rPr>
          <w:rFonts w:ascii="Avenir-Book" w:hAnsi="Avenir-Book"/>
        </w:rPr>
      </w:pPr>
      <w:r w:rsidRPr="00AD165E">
        <w:rPr>
          <w:rFonts w:ascii="Avenir-Book" w:hAnsi="Avenir-Book"/>
        </w:rPr>
        <w:t>Previo a la aprobación del Dictamen por parte de la Comisión de Patrimonio y Hacienda Pública, se realizaron siete mesas de trabajo en las que se anali</w:t>
      </w:r>
      <w:r w:rsidR="00AD165E">
        <w:rPr>
          <w:rFonts w:ascii="Avenir-Book" w:hAnsi="Avenir-Book"/>
        </w:rPr>
        <w:t>zaron</w:t>
      </w:r>
      <w:r w:rsidRPr="00AD165E">
        <w:rPr>
          <w:rFonts w:ascii="Avenir-Book" w:hAnsi="Avenir-Book"/>
        </w:rPr>
        <w:t xml:space="preserve"> la planeación presupuestal y programática de cada una de las dependencias y organismos que integran la Administración Pública Municipal con la finalidad de detectar las necesidades prioritarias y los ejes transversales de dicha planeación siendo:</w:t>
      </w:r>
    </w:p>
    <w:p w:rsidR="00A97230" w:rsidRPr="00AD165E" w:rsidRDefault="00A97230" w:rsidP="00A97230">
      <w:pPr>
        <w:pStyle w:val="Prrafodelista"/>
        <w:numPr>
          <w:ilvl w:val="0"/>
          <w:numId w:val="25"/>
        </w:numPr>
        <w:jc w:val="both"/>
        <w:rPr>
          <w:rFonts w:ascii="Avenir-Book" w:hAnsi="Avenir-Book"/>
        </w:rPr>
      </w:pPr>
      <w:r w:rsidRPr="00AD165E">
        <w:rPr>
          <w:rFonts w:ascii="Avenir-Book" w:hAnsi="Avenir-Book"/>
        </w:rPr>
        <w:t>Presupuesto Participativo con Perspectiva de Género</w:t>
      </w:r>
    </w:p>
    <w:p w:rsidR="00A97230" w:rsidRPr="00AD165E" w:rsidRDefault="00A97230" w:rsidP="00A97230">
      <w:pPr>
        <w:pStyle w:val="Prrafodelista"/>
        <w:numPr>
          <w:ilvl w:val="0"/>
          <w:numId w:val="25"/>
        </w:numPr>
        <w:jc w:val="both"/>
        <w:rPr>
          <w:rFonts w:ascii="Avenir-Book" w:hAnsi="Avenir-Book"/>
        </w:rPr>
      </w:pPr>
      <w:r w:rsidRPr="00AD165E">
        <w:rPr>
          <w:rFonts w:ascii="Avenir-Book" w:hAnsi="Avenir-Book"/>
        </w:rPr>
        <w:t xml:space="preserve">Presupuesto con Perspectiva de Educación </w:t>
      </w:r>
    </w:p>
    <w:p w:rsidR="00A97230" w:rsidRPr="00AD165E" w:rsidRDefault="00A97230" w:rsidP="00A97230">
      <w:pPr>
        <w:pStyle w:val="Prrafodelista"/>
        <w:numPr>
          <w:ilvl w:val="0"/>
          <w:numId w:val="25"/>
        </w:numPr>
        <w:jc w:val="both"/>
        <w:rPr>
          <w:rFonts w:ascii="Avenir-Book" w:hAnsi="Avenir-Book"/>
        </w:rPr>
      </w:pPr>
      <w:r w:rsidRPr="00AD165E">
        <w:rPr>
          <w:rFonts w:ascii="Avenir-Book" w:hAnsi="Avenir-Book"/>
        </w:rPr>
        <w:t>Presupuesto Incluyente</w:t>
      </w:r>
    </w:p>
    <w:p w:rsidR="00EF1ACD" w:rsidRPr="00AD165E" w:rsidRDefault="00EF1ACD" w:rsidP="00EF1ACD">
      <w:pPr>
        <w:pStyle w:val="Prrafodelista"/>
        <w:rPr>
          <w:rFonts w:ascii="Avenir-Book" w:hAnsi="Avenir-Book" w:cs="Arial"/>
          <w:color w:val="000000" w:themeColor="text1"/>
        </w:rPr>
      </w:pPr>
    </w:p>
    <w:p w:rsidR="00EF1ACD" w:rsidRPr="00AD165E" w:rsidRDefault="00EF1ACD" w:rsidP="00EF1ACD">
      <w:pPr>
        <w:pStyle w:val="Prrafodelista"/>
        <w:numPr>
          <w:ilvl w:val="0"/>
          <w:numId w:val="23"/>
        </w:numPr>
        <w:ind w:left="0" w:firstLine="567"/>
        <w:jc w:val="both"/>
        <w:rPr>
          <w:rFonts w:ascii="Avenir-Book" w:hAnsi="Avenir-Book"/>
        </w:rPr>
      </w:pPr>
      <w:r w:rsidRPr="00AD165E">
        <w:rPr>
          <w:rFonts w:ascii="Avenir-Book" w:hAnsi="Avenir-Book"/>
        </w:rPr>
        <w:t xml:space="preserve">Que toda vez que está por extinguirse el Presupuesto de Egresos del Municipio de Puebla para el ejercicio dos mil dieciocho, es indispensable la aprobación del Presupuesto de Egresos del Municipio de Puebla, mismo que se encontrará vigente en el ejercicio fiscal 2019. </w:t>
      </w:r>
    </w:p>
    <w:p w:rsidR="00EF1ACD" w:rsidRPr="00AD165E" w:rsidRDefault="00EF1ACD" w:rsidP="00EF1ACD">
      <w:pPr>
        <w:pStyle w:val="Prrafodelista"/>
        <w:rPr>
          <w:rFonts w:ascii="Avenir-Book" w:hAnsi="Avenir-Book"/>
        </w:rPr>
      </w:pPr>
    </w:p>
    <w:p w:rsidR="009A6FEA" w:rsidRPr="00AD165E" w:rsidRDefault="00EF1ACD" w:rsidP="009A6FEA">
      <w:pPr>
        <w:pStyle w:val="Prrafodelista"/>
        <w:numPr>
          <w:ilvl w:val="0"/>
          <w:numId w:val="23"/>
        </w:numPr>
        <w:ind w:left="0" w:firstLine="567"/>
        <w:jc w:val="both"/>
        <w:rPr>
          <w:rFonts w:ascii="Avenir-Book" w:hAnsi="Avenir-Book"/>
        </w:rPr>
      </w:pPr>
      <w:r w:rsidRPr="00AD165E">
        <w:rPr>
          <w:rFonts w:ascii="Avenir-Book" w:hAnsi="Avenir-Book"/>
        </w:rPr>
        <w:t xml:space="preserve">Que, en virtud de que con fecha diecinueve de diciembre de dos mil dieciocho el Honorable Congreso del Estado de Puebla, aprobó en sesión extraordinaria la Ley de Ingresos del Municipio de Puebla para el Ejercicio Fiscal 2019, se presenta a través del presente Dictamen el Presupuesto de Egresos correspondiente al mencionado Ejercicio Fiscal 2019, para dar cumplimiento al término establecido en el artículo 146 de la Ley Orgánica Municipal. </w:t>
      </w:r>
    </w:p>
    <w:p w:rsidR="009A6FEA" w:rsidRPr="00AD165E" w:rsidRDefault="009A6FEA" w:rsidP="009A6FEA">
      <w:pPr>
        <w:pStyle w:val="Prrafodelista"/>
        <w:rPr>
          <w:rFonts w:ascii="Avenir-Book" w:hAnsi="Avenir-Book" w:cs="Arial"/>
        </w:rPr>
      </w:pPr>
    </w:p>
    <w:p w:rsidR="00A97230" w:rsidRPr="00AD165E" w:rsidRDefault="009A6FEA" w:rsidP="00767C5B">
      <w:pPr>
        <w:pStyle w:val="Prrafodelista"/>
        <w:numPr>
          <w:ilvl w:val="0"/>
          <w:numId w:val="23"/>
        </w:numPr>
        <w:ind w:left="0" w:firstLine="567"/>
        <w:jc w:val="both"/>
        <w:rPr>
          <w:rFonts w:ascii="Avenir-Book" w:hAnsi="Avenir-Book"/>
        </w:rPr>
      </w:pPr>
      <w:r w:rsidRPr="00AD165E">
        <w:rPr>
          <w:rFonts w:ascii="Avenir-Book" w:hAnsi="Avenir-Book" w:cs="Arial"/>
        </w:rPr>
        <w:t xml:space="preserve">Tomando en cuenta los considerandos anteriormente expuestos, resulta procedente determinar la aprobación del Presupuesto de Egresos para el Municipio de Puebla correspondiente al ejercicio dos mil diecinueve, </w:t>
      </w:r>
      <w:r w:rsidR="00AD165E" w:rsidRPr="00AD165E">
        <w:rPr>
          <w:rFonts w:ascii="Avenir-Book" w:hAnsi="Avenir-Book" w:cs="Arial"/>
        </w:rPr>
        <w:t>de acuerdo con</w:t>
      </w:r>
      <w:r w:rsidRPr="00AD165E">
        <w:rPr>
          <w:rFonts w:ascii="Avenir-Book" w:hAnsi="Avenir-Book" w:cs="Arial"/>
        </w:rPr>
        <w:t xml:space="preserve"> la distribución del gasto público que se motiva y estructura </w:t>
      </w:r>
      <w:r w:rsidR="00AD165E" w:rsidRPr="00AD165E">
        <w:rPr>
          <w:rFonts w:ascii="Avenir-Book" w:hAnsi="Avenir-Book" w:cs="Arial"/>
        </w:rPr>
        <w:t>de acuerdo con</w:t>
      </w:r>
      <w:r w:rsidRPr="00AD165E">
        <w:rPr>
          <w:rFonts w:ascii="Avenir-Book" w:hAnsi="Avenir-Book" w:cs="Arial"/>
        </w:rPr>
        <w:t xml:space="preserve"> lo siguiente:</w:t>
      </w:r>
    </w:p>
    <w:p w:rsidR="001414C3" w:rsidRPr="00AD165E" w:rsidRDefault="000B3C73" w:rsidP="00BD400C">
      <w:pPr>
        <w:autoSpaceDE w:val="0"/>
        <w:autoSpaceDN w:val="0"/>
        <w:adjustRightInd w:val="0"/>
        <w:spacing w:line="360" w:lineRule="auto"/>
        <w:rPr>
          <w:rFonts w:ascii="Avenir-Book" w:hAnsi="Avenir-Book" w:cs="Arial"/>
          <w:b/>
          <w:sz w:val="22"/>
          <w:szCs w:val="22"/>
        </w:rPr>
      </w:pPr>
      <w:r w:rsidRPr="00AD165E">
        <w:rPr>
          <w:rFonts w:ascii="Avenir-Book" w:hAnsi="Avenir-Book" w:cs="Arial"/>
          <w:b/>
          <w:sz w:val="22"/>
          <w:szCs w:val="22"/>
        </w:rPr>
        <w:t>PE</w:t>
      </w:r>
      <w:r w:rsidR="00AD02BB" w:rsidRPr="00AD165E">
        <w:rPr>
          <w:rFonts w:ascii="Avenir-Book" w:hAnsi="Avenir-Book" w:cs="Arial"/>
          <w:b/>
          <w:sz w:val="22"/>
          <w:szCs w:val="22"/>
        </w:rPr>
        <w:t>RSPECTIVAS ECONÓMICAS PARA 2019</w:t>
      </w:r>
    </w:p>
    <w:p w:rsidR="000B3C73" w:rsidRPr="00AD165E" w:rsidRDefault="000B3C73" w:rsidP="0094029A">
      <w:pPr>
        <w:numPr>
          <w:ilvl w:val="0"/>
          <w:numId w:val="15"/>
        </w:numPr>
        <w:tabs>
          <w:tab w:val="left" w:pos="284"/>
        </w:tabs>
        <w:autoSpaceDE w:val="0"/>
        <w:autoSpaceDN w:val="0"/>
        <w:adjustRightInd w:val="0"/>
        <w:spacing w:line="360" w:lineRule="auto"/>
        <w:ind w:left="0" w:firstLine="0"/>
        <w:jc w:val="both"/>
        <w:rPr>
          <w:rFonts w:ascii="Avenir-Book" w:hAnsi="Avenir-Book" w:cs="Arial"/>
          <w:b/>
          <w:sz w:val="22"/>
          <w:szCs w:val="22"/>
        </w:rPr>
      </w:pPr>
      <w:r w:rsidRPr="00AD165E">
        <w:rPr>
          <w:rFonts w:ascii="Avenir-Book" w:hAnsi="Avenir-Book" w:cs="Arial"/>
          <w:b/>
          <w:sz w:val="22"/>
          <w:szCs w:val="22"/>
          <w:lang w:eastAsia="es-MX"/>
        </w:rPr>
        <w:t>ENTORNO MACROECONÓMICO</w:t>
      </w:r>
    </w:p>
    <w:p w:rsidR="000B3C73" w:rsidRPr="00AD165E" w:rsidRDefault="000B3C73" w:rsidP="00AD02BB">
      <w:pPr>
        <w:spacing w:after="100" w:afterAutospacing="1"/>
        <w:ind w:right="-93"/>
        <w:jc w:val="both"/>
        <w:rPr>
          <w:rFonts w:ascii="Avenir-Book" w:hAnsi="Avenir-Book" w:cs="Arial"/>
          <w:b/>
          <w:sz w:val="22"/>
          <w:szCs w:val="22"/>
          <w:u w:val="single"/>
        </w:rPr>
      </w:pPr>
      <w:r w:rsidRPr="00AD165E">
        <w:rPr>
          <w:rFonts w:ascii="Avenir-Book" w:hAnsi="Avenir-Book" w:cs="Arial"/>
          <w:b/>
          <w:sz w:val="22"/>
          <w:szCs w:val="22"/>
          <w:u w:val="single"/>
        </w:rPr>
        <w:t>Entorno Externo</w:t>
      </w:r>
    </w:p>
    <w:p w:rsidR="000E67BC" w:rsidRPr="00AD165E" w:rsidRDefault="000E67BC" w:rsidP="002E536D">
      <w:pPr>
        <w:spacing w:after="100" w:afterAutospacing="1" w:line="276" w:lineRule="auto"/>
        <w:ind w:right="-93"/>
        <w:jc w:val="both"/>
        <w:rPr>
          <w:rFonts w:ascii="Avenir-Book" w:hAnsi="Avenir-Book" w:cs="Arial"/>
          <w:sz w:val="22"/>
          <w:szCs w:val="22"/>
        </w:rPr>
      </w:pPr>
      <w:r w:rsidRPr="00AD165E">
        <w:rPr>
          <w:rFonts w:ascii="Avenir-Book" w:hAnsi="Avenir-Book" w:cs="Arial"/>
          <w:sz w:val="22"/>
          <w:szCs w:val="22"/>
        </w:rPr>
        <w:t>Los “Criterios Generales de Política Económica para la Iniciativa de Ley de Ingresos y el Proyecto de Presupuesto de Egresos de la Federación correspondientes al ejercicio fiscal 2019” (CGPE19), publicados por la Secretaría de Hacienda y Crédito Público, el quince de diciembre de dos mil dieciocho; establecen que se perciben señales de una moderación en el ritmo de crecimiento y las perspectivas de crecimiento global han sido revisadas a la baja para el cierre de 2018 y 2019. El Fondo Monetario Internacional (FMI) proyecta que el crecimiento mundial alcance una tasa real anual de 3.7% en 2018 y en 2019, lo cual</w:t>
      </w:r>
      <w:r w:rsidR="00767C5B" w:rsidRPr="00AD165E">
        <w:rPr>
          <w:rFonts w:ascii="Avenir-Book" w:hAnsi="Avenir-Book" w:cs="Arial"/>
          <w:sz w:val="22"/>
          <w:szCs w:val="22"/>
        </w:rPr>
        <w:t xml:space="preserve"> </w:t>
      </w:r>
      <w:r w:rsidRPr="00AD165E">
        <w:rPr>
          <w:rFonts w:ascii="Avenir-Book" w:hAnsi="Avenir-Book" w:cs="Arial"/>
          <w:sz w:val="22"/>
          <w:szCs w:val="22"/>
        </w:rPr>
        <w:t xml:space="preserve">implica una revisión a la baja de 0.2 puntos porcentuales con respecto a la perspectiva de crecimiento para ambos años que se tenía a mediados de 2018. </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Destaca que la Reserva Federal de Estados Unidos de América (FED por sus siglas en inglés) ha continuado incrementando su tasa de referencia a un ritmo mayor que en el resto de los bancos centrales en otras economías avanzadas. A pesar de que las</w:t>
      </w:r>
      <w:r w:rsidR="00767C5B" w:rsidRPr="00AD165E">
        <w:rPr>
          <w:rFonts w:ascii="Avenir-Book" w:hAnsi="Avenir-Book" w:cs="Arial"/>
          <w:sz w:val="22"/>
          <w:szCs w:val="22"/>
        </w:rPr>
        <w:t xml:space="preserve"> </w:t>
      </w:r>
      <w:r w:rsidRPr="00AD165E">
        <w:rPr>
          <w:rFonts w:ascii="Avenir-Book" w:hAnsi="Avenir-Book" w:cs="Arial"/>
          <w:sz w:val="22"/>
          <w:szCs w:val="22"/>
        </w:rPr>
        <w:t>expectativas han cambiado hacia una moderación en el proceso de normalización respecto a lo que se anticipaba en el primer trimestre del año, la perspectiva aún es que se registre un incremento adicional en la tasa de referencia de la FED en diciembre de este año. El proceso de normalización de la política monetaria estadounidense ha generado condiciones más astringentes en los mercados financieros a nivel mundial.</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 xml:space="preserve">Para las </w:t>
      </w:r>
      <w:r w:rsidRPr="00AD165E">
        <w:rPr>
          <w:rFonts w:ascii="Avenir-Book" w:hAnsi="Avenir-Book" w:cs="Arial"/>
          <w:b/>
          <w:sz w:val="22"/>
          <w:szCs w:val="22"/>
        </w:rPr>
        <w:t>economías avanzadas</w:t>
      </w:r>
      <w:r w:rsidRPr="00AD165E">
        <w:rPr>
          <w:rFonts w:ascii="Avenir-Book" w:hAnsi="Avenir-Book" w:cs="Arial"/>
          <w:sz w:val="22"/>
          <w:szCs w:val="22"/>
        </w:rPr>
        <w:t>, se muestra un crecimiento del 3.5% a tasa trimestral anualizada en el tercer trimestre de 2018 de la economía de Estados Unidos. Considerando este entorno económico favorable, el FMI proyecta que la economía estadounidense alcance una tasa de crecimiento de 2.9% en 2018, cifra superior en 0.7 puntos porcentuales al crecimiento observado el año anterior.</w:t>
      </w:r>
    </w:p>
    <w:p w:rsidR="000E67BC" w:rsidRPr="00AD165E" w:rsidRDefault="00AD165E" w:rsidP="000E67BC">
      <w:pPr>
        <w:spacing w:after="100" w:afterAutospacing="1"/>
        <w:ind w:right="-93"/>
        <w:jc w:val="both"/>
        <w:rPr>
          <w:rFonts w:ascii="Avenir-Book" w:hAnsi="Avenir-Book" w:cs="Arial"/>
          <w:sz w:val="22"/>
          <w:szCs w:val="22"/>
        </w:rPr>
      </w:pPr>
      <w:r w:rsidRPr="00AD165E">
        <w:rPr>
          <w:rFonts w:ascii="Avenir-Book" w:hAnsi="Avenir-Book"/>
          <w:noProof/>
          <w:sz w:val="22"/>
          <w:szCs w:val="22"/>
          <w:lang w:val="es-MX" w:eastAsia="es-MX"/>
        </w:rPr>
        <w:drawing>
          <wp:anchor distT="0" distB="0" distL="114300" distR="114300" simplePos="0" relativeHeight="251656192" behindDoc="1" locked="0" layoutInCell="1" allowOverlap="1">
            <wp:simplePos x="0" y="0"/>
            <wp:positionH relativeFrom="column">
              <wp:posOffset>549275</wp:posOffset>
            </wp:positionH>
            <wp:positionV relativeFrom="paragraph">
              <wp:posOffset>1428115</wp:posOffset>
            </wp:positionV>
            <wp:extent cx="4433570" cy="1762125"/>
            <wp:effectExtent l="19050" t="0" r="5080" b="0"/>
            <wp:wrapTight wrapText="bothSides">
              <wp:wrapPolygon edited="0">
                <wp:start x="-93" y="0"/>
                <wp:lineTo x="-93" y="21483"/>
                <wp:lineTo x="21625" y="21483"/>
                <wp:lineTo x="21625" y="0"/>
                <wp:lineTo x="-93"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6080" t="42140" r="27469" b="21389"/>
                    <a:stretch/>
                  </pic:blipFill>
                  <pic:spPr bwMode="auto">
                    <a:xfrm>
                      <a:off x="0" y="0"/>
                      <a:ext cx="4433570" cy="1762125"/>
                    </a:xfrm>
                    <a:prstGeom prst="rect">
                      <a:avLst/>
                    </a:prstGeom>
                    <a:ln>
                      <a:noFill/>
                    </a:ln>
                    <a:extLst>
                      <a:ext uri="{53640926-AAD7-44D8-BBD7-CCE9431645EC}">
                        <a14:shadowObscured xmlns:a14="http://schemas.microsoft.com/office/drawing/2010/main"/>
                      </a:ext>
                    </a:extLst>
                  </pic:spPr>
                </pic:pic>
              </a:graphicData>
            </a:graphic>
          </wp:anchor>
        </w:drawing>
      </w:r>
      <w:r w:rsidR="000E67BC" w:rsidRPr="00AD165E">
        <w:rPr>
          <w:rFonts w:ascii="Avenir-Book" w:hAnsi="Avenir-Book" w:cs="Arial"/>
          <w:sz w:val="22"/>
          <w:szCs w:val="22"/>
        </w:rPr>
        <w:t>La producción industrial en Estados Unidos de América también ha presentado un comportamiento positivo en lo que va de 2018; en el tercer trimestre tanto el crecimiento del sector minero como el de</w:t>
      </w:r>
      <w:r w:rsidR="00B23803" w:rsidRPr="00AD165E">
        <w:rPr>
          <w:rFonts w:ascii="Avenir-Book" w:hAnsi="Avenir-Book" w:cs="Arial"/>
          <w:sz w:val="22"/>
          <w:szCs w:val="22"/>
        </w:rPr>
        <w:t xml:space="preserve">l sector </w:t>
      </w:r>
      <w:r w:rsidR="000E67BC" w:rsidRPr="00AD165E">
        <w:rPr>
          <w:rFonts w:ascii="Avenir-Book" w:hAnsi="Avenir-Book" w:cs="Arial"/>
          <w:sz w:val="22"/>
          <w:szCs w:val="22"/>
        </w:rPr>
        <w:t>manufacturero fueron superiores a los registrados el trimestre previo. En particular, el sector manufacturero se incrementó 3.5% a tasa trimestral anualizada, 1.2 puntos porcentuales más que el trimestre anterior, apoyado por la producción de vehículos y autopartes y maquinaria, principalmente.</w:t>
      </w: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left="-142" w:right="-93"/>
        <w:jc w:val="both"/>
        <w:rPr>
          <w:rFonts w:ascii="Avenir-Book" w:hAnsi="Avenir-Book" w:cs="Arial"/>
          <w:sz w:val="22"/>
          <w:szCs w:val="22"/>
        </w:rPr>
      </w:pPr>
    </w:p>
    <w:p w:rsidR="00A97230" w:rsidRPr="00AD165E" w:rsidRDefault="00A97230" w:rsidP="000E67BC">
      <w:pPr>
        <w:spacing w:after="100" w:afterAutospacing="1"/>
        <w:ind w:right="-93"/>
        <w:jc w:val="both"/>
        <w:rPr>
          <w:rFonts w:ascii="Avenir-Book" w:hAnsi="Avenir-Book" w:cs="Arial"/>
          <w:sz w:val="22"/>
          <w:szCs w:val="22"/>
        </w:rPr>
      </w:pPr>
    </w:p>
    <w:p w:rsidR="00A97230" w:rsidRPr="00AD165E" w:rsidRDefault="00A97230" w:rsidP="000E67BC">
      <w:pPr>
        <w:spacing w:after="100" w:afterAutospacing="1"/>
        <w:ind w:right="-93"/>
        <w:jc w:val="both"/>
        <w:rPr>
          <w:rFonts w:ascii="Avenir-Book" w:hAnsi="Avenir-Book" w:cs="Arial"/>
          <w:sz w:val="22"/>
          <w:szCs w:val="22"/>
        </w:rPr>
      </w:pPr>
    </w:p>
    <w:p w:rsidR="007F6463" w:rsidRDefault="00AD165E" w:rsidP="000E67BC">
      <w:pPr>
        <w:spacing w:after="100" w:afterAutospacing="1"/>
        <w:ind w:right="-93"/>
        <w:jc w:val="both"/>
        <w:rPr>
          <w:rFonts w:ascii="Avenir-Book" w:hAnsi="Avenir-Book" w:cs="Arial"/>
          <w:sz w:val="22"/>
          <w:szCs w:val="22"/>
        </w:rPr>
      </w:pPr>
      <w:r>
        <w:rPr>
          <w:rFonts w:ascii="Avenir-Book" w:hAnsi="Avenir-Book" w:cs="Arial"/>
          <w:sz w:val="22"/>
          <w:szCs w:val="22"/>
        </w:rPr>
        <w:br/>
      </w:r>
      <w:r>
        <w:rPr>
          <w:rFonts w:ascii="Avenir-Book" w:hAnsi="Avenir-Book" w:cs="Arial"/>
          <w:sz w:val="22"/>
          <w:szCs w:val="22"/>
        </w:rPr>
        <w:br/>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Para la zona del euro, el desempeño en la actividad económica en lo que va de 2018 ha sido positivo, aunque la dinámica en la tasa de crecimiento de la región se ha moderado respecto al comportamiento observado durante 2017. las perspectivas de crecimiento de la zona se han revisado a la baja para 2018. El FMI proyecta que alcance una tasa de 2.0% al cierre del año, cifra menor en 0.2 puntos porcentuales a la tasa esperada a principios de 2018 e inferior en 0.4 puntos porcentuales al crecimiento observado en 2017.</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En lo que va de 2018, el ritmo de crecimiento de la economía de Japón ha mostrado una desaceleración respecto a los niveles observados en 2017. En el tercer trimestre del año, la economía japonesa no registró un crecimiento en términos anuales. Este desempeño es el más bajo observado desde el primer trimestre de 2015 y resultó 1.4 puntos porcentuales menor al registrado durante el segundo trimestre de 2018. De acuerdo con las proyecciones de crecimiento más recientes del FMI, la economía de Japón crecerá 1.1% en 2018, 0.6 puntos porcentuales menos que la tasa de 1.7% registrada en 2017.</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noProof/>
          <w:sz w:val="22"/>
          <w:szCs w:val="22"/>
          <w:lang w:val="es-MX" w:eastAsia="es-MX"/>
        </w:rPr>
        <w:drawing>
          <wp:anchor distT="0" distB="0" distL="114300" distR="114300" simplePos="0" relativeHeight="251659264" behindDoc="1" locked="0" layoutInCell="1" allowOverlap="1">
            <wp:simplePos x="0" y="0"/>
            <wp:positionH relativeFrom="column">
              <wp:posOffset>774065</wp:posOffset>
            </wp:positionH>
            <wp:positionV relativeFrom="paragraph">
              <wp:posOffset>53340</wp:posOffset>
            </wp:positionV>
            <wp:extent cx="4045585" cy="1793240"/>
            <wp:effectExtent l="0" t="0" r="0" b="0"/>
            <wp:wrapTight wrapText="bothSides">
              <wp:wrapPolygon edited="0">
                <wp:start x="0" y="0"/>
                <wp:lineTo x="0" y="21340"/>
                <wp:lineTo x="21461" y="21340"/>
                <wp:lineTo x="2146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6197" t="25448" r="27573" b="38099"/>
                    <a:stretch/>
                  </pic:blipFill>
                  <pic:spPr bwMode="auto">
                    <a:xfrm>
                      <a:off x="0" y="0"/>
                      <a:ext cx="4045585" cy="1793240"/>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En Estados Unidos de América se crearon 2.3 millones de empleos en lo que va del año 2018, lo que permitió que la tasa de desempleo se ubicara en 3.7%, la más baja desde diciembre de 1969. En la zona del euro, la tasa de desempleo se ubicó en 8.1% en octubre de 2018, el nivel más bajo desde noviembre de 2008. Por su parte, los niveles de desempleo en la economía de Japón se han mantenido relativamente estables en un rango de entre 2.2 y 2.5% en el periodo que va de enero a octubre de 2018, luego de haberse ubicado en 2.7% al cierre de 2017.</w:t>
      </w:r>
    </w:p>
    <w:p w:rsidR="000E67BC" w:rsidRPr="00AD165E" w:rsidRDefault="000E67BC" w:rsidP="007E61F1">
      <w:pPr>
        <w:spacing w:after="100" w:afterAutospacing="1"/>
        <w:ind w:right="-93"/>
        <w:jc w:val="both"/>
        <w:rPr>
          <w:rFonts w:ascii="Avenir-Book" w:hAnsi="Avenir-Book" w:cs="Arial"/>
          <w:sz w:val="22"/>
          <w:szCs w:val="22"/>
        </w:rPr>
      </w:pPr>
      <w:r w:rsidRPr="00AD165E">
        <w:rPr>
          <w:rFonts w:ascii="Avenir-Book" w:hAnsi="Avenir-Book" w:cs="Arial"/>
          <w:sz w:val="22"/>
          <w:szCs w:val="22"/>
        </w:rPr>
        <w:t>En Estados Unidos de América, la inflación general de precios al consumidor a noviembre de 2018 se ubicó en 2.2%, mientras que la inflación subyacente alcanzó 2.2%. En la zona del euro, la inflación general ha mostrado incrementos a lo largo de 2018. Con cifras a octubre de 2018, los precios de la energía y los servicios impulsaron el crecimiento del índice de precios al consumidor a un nivel de 2.2%, marginalmente superior al objetivo del Banco Central Europeo (BCE) de 2%. No obstante, en ese mes la inflación subyacente para la zona del euro se ubicó en 1.1%. en Japón, la inflación subyacente registró disminuciones durante el primer semestre de 2018 e incrementos marginales en el segundo semestre, para ubicarse en 1.0% a tasa anual en octubre de 2018.</w:t>
      </w:r>
    </w:p>
    <w:p w:rsidR="000E67BC" w:rsidRPr="00AD165E" w:rsidRDefault="000E67BC" w:rsidP="00AD165E">
      <w:pPr>
        <w:spacing w:after="100" w:afterAutospacing="1"/>
        <w:ind w:right="-93"/>
        <w:jc w:val="both"/>
        <w:rPr>
          <w:rFonts w:ascii="Avenir-Book" w:hAnsi="Avenir-Book" w:cs="Arial"/>
          <w:b/>
          <w:sz w:val="22"/>
          <w:szCs w:val="22"/>
        </w:rPr>
      </w:pPr>
      <w:r w:rsidRPr="00AD165E">
        <w:rPr>
          <w:rFonts w:ascii="Avenir-Book" w:hAnsi="Avenir-Book" w:cs="Arial"/>
          <w:b/>
          <w:sz w:val="22"/>
          <w:szCs w:val="22"/>
        </w:rPr>
        <w:t>Economías Emergentes</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Durante 2018, las economías emergentes presentaron un crecimiento positivo. Sin embargo, el complejo entorno económico debido a la interacción entre las tensiones geopolíticas y comerciales, y las condiciones financieras más restrictivas a nivel global han generado incertidumbre y volatilidad, evidenciado la fragilidad de los fundamentos macroeconómicos en algunas de estas economías emergentes, siendo los casos más notorios los de Turquía y Argentina.</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 xml:space="preserve">La economía turca hacia finales del primer semestre de </w:t>
      </w:r>
      <w:r w:rsidR="002174E1" w:rsidRPr="00AD165E">
        <w:rPr>
          <w:rFonts w:ascii="Avenir-Book" w:hAnsi="Avenir-Book" w:cs="Arial"/>
          <w:sz w:val="22"/>
          <w:szCs w:val="22"/>
        </w:rPr>
        <w:t>2018, presentó</w:t>
      </w:r>
      <w:r w:rsidRPr="00AD165E">
        <w:rPr>
          <w:rFonts w:ascii="Avenir-Book" w:hAnsi="Avenir-Book" w:cs="Arial"/>
          <w:sz w:val="22"/>
          <w:szCs w:val="22"/>
        </w:rPr>
        <w:t xml:space="preserve"> una fuerte desaceleración; durante el segundo trimestre de 2018 la economía creció 5.2%, 2.1 puntos porcentuales menos que el crecimiento observado el trimestre anterior. La inflación registró en octubre de 2018 un nivel de 25.2%, el nivel más alto desde julio de 2003. Ante esta situación y con el objetivo de contener la inflación y evitar una mayor depreciación de su moneda, el Banco Central de Turquía decidió aumentar su tasa de referencia en 625 puntos base, alcanzando un nivel de 24.0%. En este contexto de constante volatilidad sobre los mercados financieros, el FMI estima que el crecimiento de Turquía en 2018 se ubicará en 3.5%, 3.9 puntos porcentuales menos que el crecimiento registrado en 2017.</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Durante el segundo trimestre, la economía argentina se contrajo 4.2% anual, luego de haberse mantenido en terreno positivo durante cinco trimestres consecutivos. Ante la elevada inflación registrada en el país, la cual se ubicó en 45.5% en octubre, el Banco Central de la República de Argentina incrementó su tasa de referencia en 3,275 puntos base durante el periodo abril-septiembre de 2018. No obstante, para disminuir la inflación y recuperar un ancla nominal para la economía, a partir del 1° de octubre, el Banco Central implementó un nuevo esquema de política monetaria en el cual estableció un objetivo de base monetaria y se comprometió a no incrementar el nivel de dicha base hasta junio de 2019. Adicionalmente, Argentina alcanzó en junio un acuerdo excepcional de financiamiento con el FMI denominado Stand-by, el cual se logró bajo el compromiso de alcanzar el equilibrio fiscal en 2019. En el actual contexto internacional de presión sobre las monedas de las economías emergentes en el que Argentina presenta debilidad en sus fundamentos macroeconómicos, el FMI estima una contracción de la economía argentina de 2.6% en 2018 y de 1.6% en 2019.</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En el caso de China, su crecimiento ha comenzado a mostrar ciertas señales de desaceleración; en el tercer trimestre del año, el crecimiento de esta economía se ubicó en 6.5%, el nivel más bajo desde el primer trimestre de 2009. La inflación se ha ubicado en un rango entre 2.1 y 2.5% entre julio y octubre, y se ha mantenido por debajo del objetivo de 3.0% para 2018. En este contexto, el gobierno chino ha implementado ajustes fiscales y monetarios con el objetivo de impulsar la recuperación de la demanda interna. Las proyecciones de crecimiento para la economía china se han revisado a la baja, el FMI estima que esta economía crecerá 6.6% en 2018, 0.3 puntos porcentuales menos que el crecimiento registrado en 2017, mientras que para 2019 se espera una tasa de crecimiento de 6.2%.</w:t>
      </w:r>
    </w:p>
    <w:p w:rsidR="007F6463" w:rsidRDefault="007F6463" w:rsidP="000E67BC">
      <w:pPr>
        <w:spacing w:after="100" w:afterAutospacing="1"/>
        <w:ind w:right="-93"/>
        <w:jc w:val="both"/>
        <w:rPr>
          <w:rFonts w:ascii="Avenir-Book" w:hAnsi="Avenir-Book" w:cs="Arial"/>
          <w:b/>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Mercados Financieros</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En las economías avanzadas se ha observado una tendencia a la normalización de sus políticas monetarias, aunque se prevé que exista divergencia en la temporalidad de los ajustes. En lo que va de 2018, el Comité Federal de Mercado Abierto de la Reserva Federal ha decidido en tres ocasiones incrementar su objetivo de la tasa de fondos federales en 25 puntos base, de modo que desde el 26 de septiembre dicha tasa se ubica en un rango de 2.00 a 2.25%.</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 Banco de Inglaterra también ha realizado aumentos sobre su tasa de referencia, aunque a un ritmo menor que la Reserva Federal. El 2 de agosto, el Comité de Política Monetaria del Banco de Inglaterra decidió subir la tasa de referencia en 25 puntos base a un nivel de 0.75% después de haberla mantenido constante durante el primer semestre de 2018. El Comité destacó que si la economía se desarrolla en línea con sus proyecciones, la política monetaria apropiada sería la continuación del endurecimiento.</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 Banco Central Europeo ha mantenido constantes las tasas de interés para las principales operaciones financieras durante 2018. En particular, la tasa para las operaciones de refinanciamiento permaneció en 0.0%; la tasa de interés de préstamos se mantuvo en 0.25%; y la tasa de interés de depósitos continuó en -0.40%.</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 Banco de Japón ha mantenido su política monetaria sin cambios durante el 2018, así como su esquema basado en el control de la curva de rendimientos. En la reunión del 31 de octubre de 2018, el Banco comunicó que pretende mantener los bajos niveles para las tasas de interés de corto y mediano plazos por un periodo prolongado debido a la incertidumbre en torno a la actividad económica y los precios en la economía japonesa.</w:t>
      </w:r>
    </w:p>
    <w:p w:rsidR="000E67BC" w:rsidRPr="00AD165E" w:rsidRDefault="000E67BC" w:rsidP="007E61F1">
      <w:pPr>
        <w:spacing w:after="100" w:afterAutospacing="1"/>
        <w:ind w:right="-93"/>
        <w:jc w:val="both"/>
        <w:rPr>
          <w:rFonts w:ascii="Avenir-Book" w:hAnsi="Avenir-Book" w:cs="Arial"/>
          <w:sz w:val="22"/>
          <w:szCs w:val="22"/>
        </w:rPr>
      </w:pPr>
      <w:r w:rsidRPr="00AD165E">
        <w:rPr>
          <w:rFonts w:ascii="Avenir-Book" w:hAnsi="Avenir-Book" w:cs="Arial"/>
          <w:sz w:val="22"/>
          <w:szCs w:val="22"/>
        </w:rPr>
        <w:t>El proceso de normalización de la política monetaria estadounidense ha presionado las monedas de las economías emergentes durante 2018. En consecuencia, se ha observado un aumento en las tasas de referencia en varios países. Particularmente, Argentina y Turquía han realizado incrementos significativos y mayores que el resto de las economías emergentes, toda vez que el entorno externo adverso ha puesto en evidencia la fragilidad de su posición fiscal y de sus fundamentos macroeconómicos.</w:t>
      </w: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Precios de Hidrocarburos</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Durante 2018, los precios internacionales del petróleo han alcanzado, en promedio, niveles superiores a los registrados el año anterior. Del 1 de enero al 30 de noviembre de 2018, el crudo de referencia West Texas Intermediate (WTI) registró un precio promedio de 66.3 dólares por barril (dpb), mayor en 30.6% que el precio promedio anual observado en 2017 de 50.8 dpb. En el mismo periodo, el crudo de referencia Brent registró un precio promedio de 72.3 dpb y la mezcla mexicana de 63.0 dpb, superiores en 33.6 y 34.8% con respecto a los promedios anuales registrados en 2017 de 54.1 y 46.7 dpb, respectivamente. Al 30 de noviembre, los diferenciales entre los precios del WTI y Brent con la mezcla mexicana registraron un promedio anual de 3.5 y 9.6 dpb, para cada caso.</w:t>
      </w:r>
    </w:p>
    <w:p w:rsidR="006946EF"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Durante octubre y noviembre de 2018, los precios registraron disminuciones debido, principalmente, a preocupaciones en torno a una desaceleración de la demanda mundial de crudo y una mayor oferta de la materia prima como consecuencia de un aumento de la producción de los países pertenecientes a la OPEP y luego de una relajación en la reimposición de sanciones económicas por parte de Estados Unidos de América a Irán.</w:t>
      </w:r>
    </w:p>
    <w:p w:rsidR="007E61F1" w:rsidRPr="00AD165E" w:rsidRDefault="000E67BC" w:rsidP="007E61F1">
      <w:pPr>
        <w:numPr>
          <w:ilvl w:val="0"/>
          <w:numId w:val="5"/>
        </w:numPr>
        <w:tabs>
          <w:tab w:val="left" w:pos="284"/>
        </w:tabs>
        <w:autoSpaceDE w:val="0"/>
        <w:autoSpaceDN w:val="0"/>
        <w:adjustRightInd w:val="0"/>
        <w:spacing w:line="276" w:lineRule="auto"/>
        <w:ind w:left="0" w:firstLine="0"/>
        <w:jc w:val="both"/>
        <w:rPr>
          <w:rFonts w:ascii="Avenir-Book" w:hAnsi="Avenir-Book" w:cs="Arial"/>
          <w:b/>
          <w:sz w:val="22"/>
          <w:szCs w:val="22"/>
        </w:rPr>
      </w:pPr>
      <w:r w:rsidRPr="00AD165E">
        <w:rPr>
          <w:rFonts w:ascii="Avenir-Book" w:hAnsi="Avenir-Book" w:cs="Arial"/>
          <w:b/>
          <w:sz w:val="22"/>
          <w:szCs w:val="22"/>
          <w:lang w:eastAsia="es-MX"/>
        </w:rPr>
        <w:t>ENTORNO ECONÓMICO NACIONAL</w:t>
      </w:r>
    </w:p>
    <w:p w:rsidR="007E61F1" w:rsidRPr="00AD165E" w:rsidRDefault="007E61F1" w:rsidP="007E61F1">
      <w:pPr>
        <w:tabs>
          <w:tab w:val="left" w:pos="284"/>
        </w:tabs>
        <w:autoSpaceDE w:val="0"/>
        <w:autoSpaceDN w:val="0"/>
        <w:adjustRightInd w:val="0"/>
        <w:spacing w:line="276" w:lineRule="auto"/>
        <w:jc w:val="both"/>
        <w:rPr>
          <w:rFonts w:ascii="Avenir-Book" w:hAnsi="Avenir-Book" w:cs="Arial"/>
          <w:b/>
          <w:sz w:val="22"/>
          <w:szCs w:val="22"/>
        </w:rPr>
      </w:pPr>
    </w:p>
    <w:p w:rsidR="00AF527F"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Ante el entorno externo adverso que ha sido descrito, en el periodo enero-septiembre de 2018, la actividad económica en México se mostró resiliente, si bien registró un crecimiento moderado. La demanda externa y el consumo privado siguen mostrando una tendencia creciente. Por su parte, la inversión continúa mostrando el bajo ritmo de expansión que ha exhibido desde finales de 2016 debido, probablemente, a la incertidumbre relacionada con la relación comercial con Estados Unidos de América. De esta manera, durante el periodo enero-septiembre de 2018, el PIB creció a un ritmo anual de 2.1%.</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 consumo privado registró un crecimiento anual de 2.4% en el periodo enero-septiembre de 2018. Ahora bien, los indicadores oportunos de ventas de la ANTAD y de automóviles sugieren una desaceleración de la compra de bienes, particularmente durables, en el tercer trimestre de 2018. En contraste, el consumo de servicios ha continuado con un elevado dinamismo.</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noProof/>
          <w:sz w:val="22"/>
          <w:szCs w:val="22"/>
          <w:lang w:val="es-MX" w:eastAsia="es-MX"/>
        </w:rPr>
        <w:drawing>
          <wp:anchor distT="0" distB="0" distL="114300" distR="114300" simplePos="0" relativeHeight="251660288" behindDoc="1" locked="0" layoutInCell="1" allowOverlap="1">
            <wp:simplePos x="0" y="0"/>
            <wp:positionH relativeFrom="column">
              <wp:posOffset>696595</wp:posOffset>
            </wp:positionH>
            <wp:positionV relativeFrom="paragraph">
              <wp:posOffset>74930</wp:posOffset>
            </wp:positionV>
            <wp:extent cx="4640580" cy="3782060"/>
            <wp:effectExtent l="0" t="0" r="7620" b="8890"/>
            <wp:wrapTight wrapText="bothSides">
              <wp:wrapPolygon edited="0">
                <wp:start x="0" y="0"/>
                <wp:lineTo x="0" y="21542"/>
                <wp:lineTo x="21547" y="21542"/>
                <wp:lineTo x="2154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4808" t="19154" r="26039" b="9592"/>
                    <a:stretch/>
                  </pic:blipFill>
                  <pic:spPr bwMode="auto">
                    <a:xfrm>
                      <a:off x="0" y="0"/>
                      <a:ext cx="4640580" cy="3782060"/>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spacing w:after="100" w:afterAutospacing="1"/>
        <w:ind w:left="-142" w:right="-93"/>
        <w:jc w:val="both"/>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AF527F" w:rsidRPr="00AD165E" w:rsidRDefault="00AF527F" w:rsidP="000E67BC">
      <w:pPr>
        <w:jc w:val="both"/>
        <w:rPr>
          <w:rFonts w:ascii="Avenir-Book" w:hAnsi="Avenir-Book" w:cs="Arial"/>
          <w:sz w:val="22"/>
          <w:szCs w:val="22"/>
        </w:rPr>
      </w:pPr>
    </w:p>
    <w:p w:rsidR="00AF527F" w:rsidRPr="00AD165E" w:rsidRDefault="00AF527F" w:rsidP="000E67BC">
      <w:pPr>
        <w:jc w:val="both"/>
        <w:rPr>
          <w:rFonts w:ascii="Avenir-Book" w:hAnsi="Avenir-Book" w:cs="Arial"/>
          <w:sz w:val="22"/>
          <w:szCs w:val="22"/>
        </w:rPr>
      </w:pPr>
    </w:p>
    <w:p w:rsidR="00AF527F" w:rsidRPr="00AD165E" w:rsidRDefault="00AF527F" w:rsidP="000E67BC">
      <w:pPr>
        <w:jc w:val="both"/>
        <w:rPr>
          <w:rFonts w:ascii="Avenir-Book" w:hAnsi="Avenir-Book" w:cs="Arial"/>
          <w:sz w:val="22"/>
          <w:szCs w:val="22"/>
        </w:rPr>
      </w:pPr>
    </w:p>
    <w:p w:rsidR="00885D2A" w:rsidRPr="00AD165E" w:rsidRDefault="00885D2A" w:rsidP="00AF527F">
      <w:pPr>
        <w:jc w:val="both"/>
        <w:rPr>
          <w:rFonts w:ascii="Avenir-Book" w:hAnsi="Avenir-Book" w:cs="Arial"/>
          <w:sz w:val="22"/>
          <w:szCs w:val="22"/>
        </w:rPr>
      </w:pPr>
    </w:p>
    <w:p w:rsidR="00885D2A" w:rsidRPr="00AD165E" w:rsidRDefault="00885D2A" w:rsidP="00AF527F">
      <w:pPr>
        <w:jc w:val="both"/>
        <w:rPr>
          <w:rFonts w:ascii="Avenir-Book" w:hAnsi="Avenir-Book" w:cs="Arial"/>
          <w:sz w:val="22"/>
          <w:szCs w:val="22"/>
        </w:rPr>
      </w:pPr>
    </w:p>
    <w:p w:rsidR="00885D2A" w:rsidRPr="00AD165E" w:rsidRDefault="00885D2A" w:rsidP="00AF527F">
      <w:pPr>
        <w:jc w:val="both"/>
        <w:rPr>
          <w:rFonts w:ascii="Avenir-Book" w:hAnsi="Avenir-Book" w:cs="Arial"/>
          <w:sz w:val="22"/>
          <w:szCs w:val="22"/>
        </w:rPr>
      </w:pPr>
    </w:p>
    <w:p w:rsidR="00885D2A" w:rsidRPr="00AD165E" w:rsidRDefault="00885D2A" w:rsidP="00AF527F">
      <w:pPr>
        <w:jc w:val="both"/>
        <w:rPr>
          <w:rFonts w:ascii="Avenir-Book" w:hAnsi="Avenir-Book" w:cs="Arial"/>
          <w:sz w:val="22"/>
          <w:szCs w:val="22"/>
        </w:rPr>
      </w:pPr>
    </w:p>
    <w:p w:rsidR="000E67BC" w:rsidRPr="00AD165E" w:rsidRDefault="000E67BC" w:rsidP="00AF527F">
      <w:pPr>
        <w:jc w:val="both"/>
        <w:rPr>
          <w:rFonts w:ascii="Avenir-Book" w:hAnsi="Avenir-Book" w:cs="Arial"/>
          <w:sz w:val="22"/>
          <w:szCs w:val="22"/>
        </w:rPr>
      </w:pPr>
      <w:r w:rsidRPr="00AD165E">
        <w:rPr>
          <w:rFonts w:ascii="Avenir-Book" w:hAnsi="Avenir-Book" w:cs="Arial"/>
          <w:sz w:val="22"/>
          <w:szCs w:val="22"/>
        </w:rPr>
        <w:t>En el periodo enero-septiembre de 2018, el déficit de la cuenta corriente anualizado se ubicó en 1.9% del PIB, menor que el de 2.0% registrado en el mismo periodo de 2017. La disminución anual en el déficit como porcentaje del PIB se explica por el mayor superávit de la balanza de ingreso secundario como resultado de la expansión en los ingresos por remesas, así como por el menor déficit en la balanza de servicios que más que compensaron los crecimientos del déficit de la balanza comercial y de la balanza de ingreso primario.</w:t>
      </w:r>
    </w:p>
    <w:p w:rsidR="000E67BC" w:rsidRPr="00AD165E" w:rsidRDefault="000E67BC" w:rsidP="000E67BC">
      <w:pPr>
        <w:jc w:val="both"/>
        <w:rPr>
          <w:rFonts w:ascii="Avenir-Book" w:hAnsi="Avenir-Book" w:cs="Arial"/>
          <w:sz w:val="22"/>
          <w:szCs w:val="22"/>
        </w:rPr>
      </w:pPr>
      <w:r w:rsidRPr="00AD165E">
        <w:rPr>
          <w:rFonts w:ascii="Avenir-Book" w:hAnsi="Avenir-Book" w:cs="Arial"/>
          <w:sz w:val="22"/>
          <w:szCs w:val="22"/>
        </w:rPr>
        <w:t>El crecimiento anual del PIB en el periodo enero - septiembre de 2018 se ubicó en 2.1% (2.5% anual en el tercer trimestre). El crecimiento estuvo impulsado, principalmente, por la expansión de las manufacturas y de los servicios. La actividad económica se vio afectada negativamente por la caída de la plataforma de producción de petróleo. Por sector de actividad económica se observaron los siguientes resultados durante el periodo enero-septiembre de 2018:</w:t>
      </w:r>
    </w:p>
    <w:p w:rsidR="00FC50AE" w:rsidRPr="00AD165E" w:rsidRDefault="00FC50AE" w:rsidP="000E67BC">
      <w:pPr>
        <w:jc w:val="both"/>
        <w:rPr>
          <w:rFonts w:ascii="Avenir-Book" w:hAnsi="Avenir-Book" w:cs="Arial"/>
          <w:sz w:val="22"/>
          <w:szCs w:val="22"/>
        </w:rPr>
      </w:pPr>
    </w:p>
    <w:p w:rsidR="000E67BC" w:rsidRPr="00AD165E" w:rsidRDefault="000E67BC" w:rsidP="000E67BC">
      <w:pPr>
        <w:jc w:val="both"/>
        <w:rPr>
          <w:rFonts w:ascii="Avenir-Book" w:hAnsi="Avenir-Book" w:cs="Arial"/>
          <w:sz w:val="22"/>
          <w:szCs w:val="22"/>
        </w:rPr>
      </w:pPr>
      <w:r w:rsidRPr="00AD165E">
        <w:rPr>
          <w:rFonts w:ascii="Avenir-Book" w:hAnsi="Avenir-Book" w:cs="Arial"/>
          <w:sz w:val="22"/>
          <w:szCs w:val="22"/>
        </w:rPr>
        <w:sym w:font="Symbol" w:char="F0B7"/>
      </w:r>
      <w:r w:rsidRPr="00AD165E">
        <w:rPr>
          <w:rFonts w:ascii="Avenir-Book" w:hAnsi="Avenir-Book" w:cs="Arial"/>
          <w:sz w:val="22"/>
          <w:szCs w:val="22"/>
        </w:rPr>
        <w:t xml:space="preserve"> La producción agropecuaria se incrementó a una tasa anual de 2.2%.</w:t>
      </w:r>
    </w:p>
    <w:p w:rsidR="00FC50AE" w:rsidRPr="00AD165E" w:rsidRDefault="00FC50AE" w:rsidP="000E67BC">
      <w:pPr>
        <w:jc w:val="both"/>
        <w:rPr>
          <w:rFonts w:ascii="Avenir-Book" w:hAnsi="Avenir-Book" w:cs="Arial"/>
          <w:sz w:val="22"/>
          <w:szCs w:val="22"/>
        </w:rPr>
      </w:pPr>
    </w:p>
    <w:p w:rsidR="000E67BC" w:rsidRPr="00AD165E" w:rsidRDefault="000E67BC" w:rsidP="000E67BC">
      <w:pPr>
        <w:jc w:val="both"/>
        <w:rPr>
          <w:rFonts w:ascii="Avenir-Book" w:hAnsi="Avenir-Book" w:cs="Arial"/>
          <w:sz w:val="22"/>
          <w:szCs w:val="22"/>
        </w:rPr>
      </w:pPr>
      <w:r w:rsidRPr="00AD165E">
        <w:rPr>
          <w:rFonts w:ascii="Avenir-Book" w:hAnsi="Avenir-Book" w:cs="Arial"/>
          <w:sz w:val="22"/>
          <w:szCs w:val="22"/>
        </w:rPr>
        <w:sym w:font="Symbol" w:char="F0B7"/>
      </w:r>
      <w:r w:rsidRPr="00AD165E">
        <w:rPr>
          <w:rFonts w:ascii="Avenir-Book" w:hAnsi="Avenir-Book" w:cs="Arial"/>
          <w:sz w:val="22"/>
          <w:szCs w:val="22"/>
        </w:rPr>
        <w:t xml:space="preserve"> La producción industrial aumentó a una tasa anual de 0.5%; al excluir la producción de petróleo y las actividades relacionadas, creció a una tasa anual de 1.8%.</w:t>
      </w:r>
    </w:p>
    <w:p w:rsidR="00AF527F" w:rsidRPr="00AD165E" w:rsidRDefault="00AF527F" w:rsidP="000E67BC">
      <w:pPr>
        <w:spacing w:after="100" w:afterAutospacing="1"/>
        <w:ind w:left="-142" w:right="-93"/>
        <w:jc w:val="both"/>
        <w:rPr>
          <w:rFonts w:ascii="Avenir-Book" w:hAnsi="Avenir-Book" w:cs="Arial"/>
          <w:b/>
          <w:sz w:val="22"/>
          <w:szCs w:val="22"/>
        </w:rPr>
      </w:pPr>
    </w:p>
    <w:p w:rsidR="000E67BC" w:rsidRPr="00AD165E" w:rsidRDefault="000E67BC" w:rsidP="000E67BC">
      <w:pPr>
        <w:spacing w:after="100" w:afterAutospacing="1"/>
        <w:ind w:left="-142" w:right="-93"/>
        <w:jc w:val="both"/>
        <w:rPr>
          <w:rFonts w:ascii="Avenir-Book" w:hAnsi="Avenir-Book" w:cs="Arial"/>
          <w:b/>
          <w:sz w:val="22"/>
          <w:szCs w:val="22"/>
        </w:rPr>
      </w:pPr>
      <w:r w:rsidRPr="00AD165E">
        <w:rPr>
          <w:rFonts w:ascii="Avenir-Book" w:hAnsi="Avenir-Book" w:cs="Arial"/>
          <w:b/>
          <w:sz w:val="22"/>
          <w:szCs w:val="22"/>
        </w:rPr>
        <w:t>Evolución de la inflación</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cs="Arial"/>
          <w:sz w:val="22"/>
          <w:szCs w:val="22"/>
        </w:rPr>
        <w:t>Durante el periodo enero-noviembre de 2018, la inflación general anual registró una disminución respecto de los niveles observados a finales de 2017 debido a reducciones de la inflación subyacente y no subyacente. La inflación general anual pasó de 6.77% en diciembre de 2017 a 4.72% en noviembre de 2018. Entre junio y septiembre, si bien la inflación se ubicó por debajo del cierre de 2017, mostró una tendencia creciente debido, principalmente, al aumento de los precios de las referencias internacionales de los productos energéticos. A partir de octubre registró disminuciones.</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cs="Arial"/>
          <w:sz w:val="22"/>
          <w:szCs w:val="22"/>
        </w:rPr>
        <w:t>La inflación subyacente pasó de 4.87% anual al cierre de 2017 a 3.63% anual en noviembre de 2018 y su reducción se debió a menores inflaciones de mercancías y de servicios. La inflación anual no subyacente registró una reducción en noviembre respecto al cierre de 2017, al pasar de 12.62% a 8.07% en ese periodo, debido a la disminución de los subíndices de agropecuarios y tarifas autorizadas por el gobierno.</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cs="Arial"/>
          <w:sz w:val="22"/>
          <w:szCs w:val="22"/>
        </w:rPr>
        <w:t>Los analistas del sector privado esperan que para el cierre de 2018 la inflación general se ubique por debajo del nivel de cierre de 2017, si bien sus expectativas se han incrementado por la evolución de la inflación no subyacente. Las medianas de las expectativas de los analistas del sector privado para la inflación de mediano y largo plazo se han mantenido estables en un nivel de 3.5% en ambos casos, de acuerdo con las encuestas publicadas por el Banco de México.</w:t>
      </w:r>
    </w:p>
    <w:p w:rsidR="000E67BC" w:rsidRPr="00AD165E" w:rsidRDefault="000E67BC" w:rsidP="000E67BC">
      <w:pPr>
        <w:spacing w:after="100" w:afterAutospacing="1"/>
        <w:ind w:left="-142" w:right="-93"/>
        <w:jc w:val="both"/>
        <w:rPr>
          <w:rFonts w:ascii="Avenir-Book" w:hAnsi="Avenir-Book" w:cs="Arial"/>
          <w:b/>
          <w:sz w:val="22"/>
          <w:szCs w:val="22"/>
        </w:rPr>
      </w:pPr>
      <w:r w:rsidRPr="00AD165E">
        <w:rPr>
          <w:rFonts w:ascii="Avenir-Book" w:hAnsi="Avenir-Book" w:cs="Arial"/>
          <w:b/>
          <w:sz w:val="22"/>
          <w:szCs w:val="22"/>
        </w:rPr>
        <w:t>Evolución de los mercados financieros nacionales</w:t>
      </w:r>
    </w:p>
    <w:p w:rsidR="000E67BC" w:rsidRPr="00AD165E" w:rsidRDefault="000E67BC" w:rsidP="000E67BC">
      <w:pPr>
        <w:spacing w:after="100" w:afterAutospacing="1"/>
        <w:ind w:left="-142" w:right="-93"/>
        <w:jc w:val="both"/>
        <w:rPr>
          <w:rFonts w:ascii="Avenir-Book" w:hAnsi="Avenir-Book" w:cs="Arial"/>
          <w:sz w:val="22"/>
          <w:szCs w:val="22"/>
        </w:rPr>
      </w:pPr>
      <w:r w:rsidRPr="00AD165E">
        <w:rPr>
          <w:rFonts w:ascii="Avenir-Book" w:hAnsi="Avenir-Book" w:cs="Arial"/>
          <w:sz w:val="22"/>
          <w:szCs w:val="22"/>
        </w:rPr>
        <w:t>En el entorno nacional han aparecido ciertos riesgos que han generado volatilidad en los mercados financieros del país. Al cierre de noviembre de 2018, el peso mexicano registró una depreciación de 4.0% con respecto al cierre de 2017 debido a ciertos episodios de alta volatilidad durante el 2018. En particular, a partir del cierre del primer trimestre de 2018 la moneda nacional se depreció 14.4% hasta alcanzar un máximo en el año de 20.83 pesos por dólar el 14 de junio. Lo anterior respondió principalmente a la incertidumbre en torno a la renegociación del TLCAN y al proceso electoral, así como a la apreciación generalizada del dólar ante una mayor aversión al riesgo en los mercados internacionales.</w:t>
      </w:r>
    </w:p>
    <w:p w:rsidR="000E67BC" w:rsidRPr="00AD165E" w:rsidRDefault="000E67BC" w:rsidP="00DE5E4C">
      <w:pPr>
        <w:spacing w:after="100" w:afterAutospacing="1"/>
        <w:ind w:left="-142" w:right="-93"/>
        <w:jc w:val="both"/>
        <w:rPr>
          <w:rFonts w:ascii="Avenir-Book" w:hAnsi="Avenir-Book" w:cs="Arial"/>
          <w:sz w:val="22"/>
          <w:szCs w:val="22"/>
        </w:rPr>
      </w:pPr>
      <w:r w:rsidRPr="00AD165E">
        <w:rPr>
          <w:rFonts w:ascii="Avenir-Book" w:hAnsi="Avenir-Book" w:cs="Arial"/>
          <w:sz w:val="22"/>
          <w:szCs w:val="22"/>
        </w:rPr>
        <w:t>El tipo de cambio registró una apreciación desde dicho máximo y hasta finales de septiembre, como resultado de un ajuste de los mercados en un contexto caracterizado por una jornada electoral ordenada en el país y una perspectiva más optimista después del acuerdo comercial alcanzado con Estados Unidos de América y Canadá. Al 30 de noviembre la moneda nacional volvió a registrar una depreciación de 9.3% con respecto al cierre de septiembre, por el cambio en la percepción de riesgo mencionado.</w:t>
      </w:r>
    </w:p>
    <w:p w:rsidR="000E67BC" w:rsidRPr="00AD165E" w:rsidRDefault="000E67BC" w:rsidP="000E67BC">
      <w:pPr>
        <w:rPr>
          <w:rFonts w:ascii="Avenir-Book" w:hAnsi="Avenir-Book" w:cs="Arial"/>
          <w:sz w:val="22"/>
          <w:szCs w:val="22"/>
        </w:rPr>
      </w:pPr>
    </w:p>
    <w:p w:rsidR="00AF527F" w:rsidRPr="00AD165E" w:rsidRDefault="007F6463" w:rsidP="000E67BC">
      <w:pPr>
        <w:jc w:val="both"/>
        <w:rPr>
          <w:rFonts w:ascii="Avenir-Book" w:hAnsi="Avenir-Book" w:cs="Arial"/>
          <w:sz w:val="22"/>
          <w:szCs w:val="22"/>
        </w:rPr>
      </w:pPr>
      <w:r>
        <w:rPr>
          <w:rFonts w:ascii="Avenir-Book" w:hAnsi="Avenir-Book" w:cs="Arial"/>
          <w:noProof/>
          <w:sz w:val="22"/>
          <w:szCs w:val="22"/>
          <w:lang w:val="es-MX" w:eastAsia="es-MX"/>
        </w:rPr>
        <w:drawing>
          <wp:anchor distT="0" distB="0" distL="114300" distR="114300" simplePos="0" relativeHeight="251653120" behindDoc="1" locked="0" layoutInCell="1" allowOverlap="1">
            <wp:simplePos x="0" y="0"/>
            <wp:positionH relativeFrom="column">
              <wp:posOffset>1282700</wp:posOffset>
            </wp:positionH>
            <wp:positionV relativeFrom="paragraph">
              <wp:posOffset>34290</wp:posOffset>
            </wp:positionV>
            <wp:extent cx="2639060" cy="2314575"/>
            <wp:effectExtent l="19050" t="0" r="8890" b="0"/>
            <wp:wrapTight wrapText="bothSides">
              <wp:wrapPolygon edited="0">
                <wp:start x="-156" y="0"/>
                <wp:lineTo x="-156" y="21511"/>
                <wp:lineTo x="21673" y="21511"/>
                <wp:lineTo x="21673" y="0"/>
                <wp:lineTo x="-156"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7346" t="39951" r="38580" b="22485"/>
                    <a:stretch/>
                  </pic:blipFill>
                  <pic:spPr bwMode="auto">
                    <a:xfrm>
                      <a:off x="0" y="0"/>
                      <a:ext cx="2639060" cy="2314575"/>
                    </a:xfrm>
                    <a:prstGeom prst="rect">
                      <a:avLst/>
                    </a:prstGeom>
                    <a:ln>
                      <a:noFill/>
                    </a:ln>
                    <a:extLst>
                      <a:ext uri="{53640926-AAD7-44D8-BBD7-CCE9431645EC}">
                        <a14:shadowObscured xmlns:a14="http://schemas.microsoft.com/office/drawing/2010/main"/>
                      </a:ext>
                    </a:extLst>
                  </pic:spPr>
                </pic:pic>
              </a:graphicData>
            </a:graphic>
          </wp:anchor>
        </w:drawing>
      </w:r>
    </w:p>
    <w:p w:rsidR="00AF527F" w:rsidRPr="00AD165E" w:rsidRDefault="00AF527F" w:rsidP="000E67BC">
      <w:pPr>
        <w:jc w:val="both"/>
        <w:rPr>
          <w:rFonts w:ascii="Avenir-Book" w:hAnsi="Avenir-Book" w:cs="Arial"/>
          <w:sz w:val="22"/>
          <w:szCs w:val="22"/>
        </w:rPr>
      </w:pPr>
    </w:p>
    <w:p w:rsidR="00AF527F" w:rsidRPr="00AD165E" w:rsidRDefault="00AF527F" w:rsidP="000E67BC">
      <w:pPr>
        <w:jc w:val="both"/>
        <w:rPr>
          <w:rFonts w:ascii="Avenir-Book" w:hAnsi="Avenir-Book" w:cs="Arial"/>
          <w:sz w:val="22"/>
          <w:szCs w:val="22"/>
        </w:rPr>
      </w:pPr>
    </w:p>
    <w:p w:rsidR="009A6FEA" w:rsidRPr="00AD165E" w:rsidRDefault="009A6FEA" w:rsidP="007E61F1">
      <w:pPr>
        <w:jc w:val="both"/>
        <w:rPr>
          <w:rFonts w:ascii="Avenir-Book" w:hAnsi="Avenir-Book" w:cs="Arial"/>
          <w:sz w:val="22"/>
          <w:szCs w:val="22"/>
        </w:rPr>
      </w:pPr>
    </w:p>
    <w:p w:rsidR="009A6FEA" w:rsidRPr="00AD165E" w:rsidRDefault="009A6FEA" w:rsidP="007E61F1">
      <w:pPr>
        <w:jc w:val="both"/>
        <w:rPr>
          <w:rFonts w:ascii="Avenir-Book" w:hAnsi="Avenir-Book" w:cs="Arial"/>
          <w:sz w:val="22"/>
          <w:szCs w:val="22"/>
        </w:rPr>
      </w:pPr>
    </w:p>
    <w:p w:rsidR="009A6FEA" w:rsidRPr="00AD165E" w:rsidRDefault="009A6FEA"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97230" w:rsidRPr="00AD165E" w:rsidRDefault="00A97230" w:rsidP="007E61F1">
      <w:pPr>
        <w:jc w:val="both"/>
        <w:rPr>
          <w:rFonts w:ascii="Avenir-Book" w:hAnsi="Avenir-Book" w:cs="Arial"/>
          <w:sz w:val="22"/>
          <w:szCs w:val="22"/>
        </w:rPr>
      </w:pPr>
    </w:p>
    <w:p w:rsidR="00AF527F" w:rsidRPr="00AD165E" w:rsidRDefault="000E67BC" w:rsidP="007E61F1">
      <w:pPr>
        <w:jc w:val="both"/>
        <w:rPr>
          <w:rFonts w:ascii="Avenir-Book" w:hAnsi="Avenir-Book" w:cs="Arial"/>
          <w:sz w:val="22"/>
          <w:szCs w:val="22"/>
        </w:rPr>
      </w:pPr>
      <w:r w:rsidRPr="00AD165E">
        <w:rPr>
          <w:rFonts w:ascii="Avenir-Book" w:hAnsi="Avenir-Book" w:cs="Arial"/>
          <w:sz w:val="22"/>
          <w:szCs w:val="22"/>
        </w:rPr>
        <w:t>La Junta de Gobierno del Banco de México ha realizado ajustes a la tasa de referencia en respuesta a los mayores riesgos para la inflación y sus expectativas derivados de los incrementos en la tasa de referencia de Estados Unidos de América y los aumentos en los precios de gas L.P. y las gasolinas. De enero a noviembre de 2018, la Junta de Gobierno del Banco de México celebró siete reuniones de política monetaria y decidió realizar incrementos de 25 puntos base a su tasa de interés de referencia en las reuniones de febrero, junio y noviembre.</w:t>
      </w:r>
    </w:p>
    <w:p w:rsidR="00DE5E4C" w:rsidRPr="00AD165E" w:rsidRDefault="00DE5E4C" w:rsidP="007E61F1">
      <w:pPr>
        <w:jc w:val="both"/>
        <w:rPr>
          <w:rFonts w:ascii="Avenir-Book" w:hAnsi="Avenir-Book" w:cs="Arial"/>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Financiamiento</w:t>
      </w:r>
    </w:p>
    <w:p w:rsidR="000E67BC" w:rsidRPr="00AD165E" w:rsidRDefault="000E67BC" w:rsidP="000E67BC">
      <w:pPr>
        <w:jc w:val="both"/>
        <w:rPr>
          <w:rFonts w:ascii="Avenir-Book" w:hAnsi="Avenir-Book" w:cs="Arial"/>
          <w:sz w:val="22"/>
          <w:szCs w:val="22"/>
        </w:rPr>
      </w:pPr>
      <w:r w:rsidRPr="00AD165E">
        <w:rPr>
          <w:rFonts w:ascii="Avenir-Book" w:hAnsi="Avenir-Book" w:cs="Arial"/>
          <w:sz w:val="22"/>
          <w:szCs w:val="22"/>
        </w:rPr>
        <w:t>El Financiamiento Interno al Sector Privado ascendió a 8,141 mmp en junio de 2018, cifra superior en 8.2% anual en términos reales y equivalente a 34.7% del PIB, lo que significó un incremento de 1.5 puntos porcentuales en comparación con lo registrado en el mismo periodo del año anterior. Por origen de los recursos, el incremento anual en el financiamiento otorgado a través de la banca múltiple fue de 8.5% en términos reales, el de la banca de desarrollo fue de 7.7% y la emisión de deuda interna y otros instrumentos de capital fue de 20.9%. El crecimiento del financiamiento por parte de FOVISSSTE, otros intermediaros no bancarios y el INFONAVIT fue menor a los anteriores, y registró un aumento de 2.8% anual. Por otro lado, el Financiamiento Interno al Sector Privado mostró un crecimiento anual para cada tipo de cartera, la actividad comercial aumentó 13.5% anual en términos reales con respecto a junio de 2018. Además, el financiamiento destinado al consumo y la vivienda aumentó 3.5 y 2.7% anual en términos reales, respectivamente.</w:t>
      </w:r>
    </w:p>
    <w:p w:rsidR="00AF527F" w:rsidRPr="00AD165E" w:rsidRDefault="00AF527F" w:rsidP="000E67BC">
      <w:pPr>
        <w:jc w:val="both"/>
        <w:rPr>
          <w:rFonts w:ascii="Avenir-Book" w:hAnsi="Avenir-Book" w:cs="Arial"/>
          <w:sz w:val="22"/>
          <w:szCs w:val="22"/>
        </w:rPr>
      </w:pPr>
    </w:p>
    <w:p w:rsidR="0093206D" w:rsidRPr="00AD165E" w:rsidRDefault="0093206D" w:rsidP="000E67BC">
      <w:pPr>
        <w:spacing w:after="100" w:afterAutospacing="1"/>
        <w:ind w:right="-93"/>
        <w:jc w:val="both"/>
        <w:rPr>
          <w:rFonts w:ascii="Avenir-Book" w:hAnsi="Avenir-Book" w:cs="Arial"/>
          <w:b/>
          <w:sz w:val="22"/>
          <w:szCs w:val="22"/>
        </w:rPr>
      </w:pPr>
    </w:p>
    <w:p w:rsidR="0093206D" w:rsidRPr="00AD165E" w:rsidRDefault="0093206D" w:rsidP="000E67BC">
      <w:pPr>
        <w:spacing w:after="100" w:afterAutospacing="1"/>
        <w:ind w:right="-93"/>
        <w:jc w:val="both"/>
        <w:rPr>
          <w:rFonts w:ascii="Avenir-Book" w:hAnsi="Avenir-Book" w:cs="Arial"/>
          <w:b/>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Marco macroeconómico al cierre de 2018</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Se estima que durante 2018 el PIB de México registre un crecimiento real anual de 2.3%, previsión que se utiliza para las estimaciones de finanzas públicas para el cierre del año. Se prevé que hacia diciembre la inflación retome una tendencia decreciente, en buena medida debido a la disminución esperada para las referencias internacionales de productos energéticos. Se estima una inflación de cierre para 2018 de 4.7%, igual a la estimación del Banco de México para el cuarto trimestre del año publicada en su Informe Trimestral julio-septiembre de 2018, y superior a la de 3.0% considerada en los CGPE 2018.</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Las estimaciones de finanzas públicas al cierre del año se utiliza un tipo de cambio promedio para 2018 de 19.2 pesos por dólar, mayor que el considerado en los CGPE 2018 de 18.1 pesos por dólar.</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Para el precio de la mezcla mexicana de petróleo se estima un promedio en 2018 de 62 dólares por barril. El precio promedio utilizado en los CGPE 2018 fue de 46 dólares por barril y el aprobado de 48.5 dólares por barril.</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La revisión de la proyección de los ingresos y gasto público para el cierre de 2018 que se describe a continuación incorpora los resultados de las finanzas públicas a noviembre y una revisión de variables macroeconómicas con información disponible, entre las que destacan:</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sym w:font="Symbol" w:char="F0B7"/>
      </w:r>
      <w:r w:rsidRPr="00AD165E">
        <w:rPr>
          <w:rFonts w:ascii="Avenir-Book" w:hAnsi="Avenir-Book" w:cs="Arial"/>
          <w:sz w:val="22"/>
          <w:szCs w:val="22"/>
        </w:rPr>
        <w:t xml:space="preserve"> Un tipo de cambio promedio del peso frente al dólar de referencia para los cálculos de las finanzas públicas de 19.2 pesos por dólar, mayor al de 18.4 pesos por dólar aprobado por el Honorable Congreso de la Unión y previsto en Pre-Criterios 2019.</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sym w:font="Symbol" w:char="F0B7"/>
      </w:r>
      <w:r w:rsidRPr="00AD165E">
        <w:rPr>
          <w:rFonts w:ascii="Avenir-Book" w:hAnsi="Avenir-Book" w:cs="Arial"/>
          <w:sz w:val="22"/>
          <w:szCs w:val="22"/>
        </w:rPr>
        <w:t xml:space="preserve"> Una inflación al cierre del año de 4.7%, mayor a la prevista en el Paquete Económico 2018 y Pre-Criterios 2019 de 3.0 y 3.5%, respectivamente. Esta previsión es congruente con el pronóstico de inflación para el cuarto trimestre publicado por el Banco de México en su Informe Trimestral de julio-septiembre de 2018.</w:t>
      </w:r>
    </w:p>
    <w:p w:rsidR="00AF527F"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sym w:font="Symbol" w:char="F0B7"/>
      </w:r>
      <w:r w:rsidRPr="00AD165E">
        <w:rPr>
          <w:rFonts w:ascii="Avenir-Book" w:hAnsi="Avenir-Book" w:cs="Arial"/>
          <w:sz w:val="22"/>
          <w:szCs w:val="22"/>
        </w:rPr>
        <w:t xml:space="preserve"> Un precio promedio anual de la mezcla mexicana de exportación de petróleo con base en la información observada a noviembre y las expectativas del mercado de 62 dólares por barril (dpb). La estimación aprobada y de Pre-Criterios 2019 fue 48.5 y 53 dpb, respectivamente.</w:t>
      </w:r>
    </w:p>
    <w:p w:rsidR="000E67BC" w:rsidRPr="00AD165E" w:rsidRDefault="000E67BC" w:rsidP="000E67BC">
      <w:pPr>
        <w:numPr>
          <w:ilvl w:val="0"/>
          <w:numId w:val="5"/>
        </w:numPr>
        <w:tabs>
          <w:tab w:val="left" w:pos="284"/>
        </w:tabs>
        <w:autoSpaceDE w:val="0"/>
        <w:autoSpaceDN w:val="0"/>
        <w:adjustRightInd w:val="0"/>
        <w:spacing w:line="276" w:lineRule="auto"/>
        <w:ind w:left="0" w:firstLine="0"/>
        <w:jc w:val="both"/>
        <w:rPr>
          <w:rFonts w:ascii="Avenir-Book" w:hAnsi="Avenir-Book" w:cs="Arial"/>
          <w:b/>
          <w:sz w:val="22"/>
          <w:szCs w:val="22"/>
          <w:lang w:eastAsia="es-MX"/>
        </w:rPr>
      </w:pPr>
      <w:r w:rsidRPr="00AD165E">
        <w:rPr>
          <w:rFonts w:ascii="Avenir-Book" w:hAnsi="Avenir-Book" w:cs="Arial"/>
          <w:b/>
          <w:sz w:val="22"/>
          <w:szCs w:val="22"/>
          <w:lang w:eastAsia="es-MX"/>
        </w:rPr>
        <w:t>PERSPECTIVAS ECONÓMICAS Y LINEAMIENTOS DE POLÍTICA FISCAL Y ECONÓMICA PARA 2019</w:t>
      </w:r>
    </w:p>
    <w:p w:rsidR="000E67BC" w:rsidRPr="00AD165E" w:rsidRDefault="000E67BC" w:rsidP="000E67BC">
      <w:pPr>
        <w:tabs>
          <w:tab w:val="left" w:pos="284"/>
        </w:tabs>
        <w:autoSpaceDE w:val="0"/>
        <w:autoSpaceDN w:val="0"/>
        <w:adjustRightInd w:val="0"/>
        <w:ind w:left="-142"/>
        <w:jc w:val="both"/>
        <w:rPr>
          <w:rFonts w:ascii="Avenir-Book" w:hAnsi="Avenir-Book" w:cs="Arial"/>
          <w:b/>
          <w:sz w:val="22"/>
          <w:szCs w:val="22"/>
          <w:lang w:eastAsia="es-MX"/>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Marco macroeconómico para 2019</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 programa económico para 2019 se basa para su proyección de ingresos y costo financiero en un marco macroeconómico prudente y acorde con las expectativas de los mercados con la finalidad de que el presupuesto resultante refleje de manera adecuada el balance de riesgos que enfrenta la economía en la actualidad.</w:t>
      </w:r>
    </w:p>
    <w:p w:rsidR="000E67BC" w:rsidRPr="00AD165E" w:rsidRDefault="00CA4270"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El</w:t>
      </w:r>
      <w:r w:rsidR="000E67BC" w:rsidRPr="00AD165E">
        <w:rPr>
          <w:rFonts w:ascii="Avenir-Book" w:hAnsi="Avenir-Book" w:cs="Arial"/>
          <w:sz w:val="22"/>
          <w:szCs w:val="22"/>
        </w:rPr>
        <w:t xml:space="preserve"> FMI ha reconocido que, aunque el crecimiento económico global se ha mantenido en niveles elevados, el ritmo de expansión se ha vuelto menos sincronizado y los riesgos a la baja para el crecimiento global se han incrementado. Algunos riesgos como el aumento de las tensiones comerciales y una reversión de los flujos de capital de las economías emergentes con fundamentos más débiles y mayores riesgos políticos se han materializado y podrían exacerbarse en el corto y mediano plazos.</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Se espera que en 2019 la economía estadounidense registre una desaceleración respecto a 2018. Para la zona del euro, el FMI estima que el crecimiento se desacelerará como resultado de una moderación en el crecimiento de sus exportaciones, principalmente, y se ubicará por debajo del crecimiento observado en 2017. Los pronósticos de crecimiento para Japón sugieren que la economía también se desacelerará hacia 2019 y tendrá un menor crecimiento que durante 2017. Para las economías emergentes, el FMI espera que el crecimiento se mantenga positivo en la mayoría de los países durante 2019, a pesar de la expectativa de moderación en el ritmo de expansión de China y de la desaceleración que han mostrado las economías de Argentina y Turquía.</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En el contexto de crecimiento global antes descrito, se estima que durante 2019 el valor real del PIB de México registre una expansión anual de entre 1.5 y 2.5%. Para efectos de las estimaciones de finanzas públicas, se plantea utilizar un crecimiento puntual del PIB para 2019 de 2.0%.</w:t>
      </w:r>
    </w:p>
    <w:p w:rsidR="000E67BC" w:rsidRPr="00AD165E" w:rsidRDefault="000E67BC" w:rsidP="000E67BC">
      <w:pPr>
        <w:spacing w:after="100" w:afterAutospacing="1"/>
        <w:ind w:right="-93"/>
        <w:jc w:val="both"/>
        <w:rPr>
          <w:rFonts w:ascii="Avenir-Book" w:hAnsi="Avenir-Book" w:cs="Arial"/>
          <w:sz w:val="22"/>
          <w:szCs w:val="22"/>
        </w:rPr>
      </w:pPr>
      <w:r w:rsidRPr="00AD165E">
        <w:rPr>
          <w:rFonts w:ascii="Avenir-Book" w:hAnsi="Avenir-Book" w:cs="Arial"/>
          <w:sz w:val="22"/>
          <w:szCs w:val="22"/>
        </w:rPr>
        <w:t>Se prevé que el consumo continúe creciendo, si bien a un ritmo más moderado que en 2018, mientras que se estima que la inversión muestre una recuperación más clara, impulsada por la disipación de la incertidumbre asociada a la negociación exitosa del acuerdo comercial entre Estados Unidos de América, México y Canadá (T-MEC). Se estima un crecimiento de las exportaciones no petroleras de México menor al de 2018. Se prevé que las importaciones tengan una desaceleración aún mayor, por lo que las exportaciones netas tendrían una contribución positiva al crecimiento respecto a 2018. La previsión de crecimiento del PIB de la Secretaría de Hacienda y Crédito Público para 2019 se encuentra en línea con el esperado por los especialistas del sector privado y de organismos internacionales.</w:t>
      </w:r>
    </w:p>
    <w:p w:rsidR="000E67BC" w:rsidRPr="00AD165E" w:rsidRDefault="007F6463" w:rsidP="000E67BC">
      <w:pPr>
        <w:spacing w:after="100" w:afterAutospacing="1"/>
        <w:ind w:right="-93"/>
        <w:jc w:val="both"/>
        <w:rPr>
          <w:rFonts w:ascii="Avenir-Book" w:hAnsi="Avenir-Book" w:cs="Arial"/>
          <w:b/>
          <w:sz w:val="22"/>
          <w:szCs w:val="22"/>
        </w:rPr>
      </w:pPr>
      <w:r>
        <w:rPr>
          <w:rFonts w:ascii="Avenir-Book" w:hAnsi="Avenir-Book" w:cs="Arial"/>
          <w:b/>
          <w:noProof/>
          <w:sz w:val="22"/>
          <w:szCs w:val="22"/>
          <w:lang w:val="es-MX" w:eastAsia="es-MX"/>
        </w:rPr>
        <w:drawing>
          <wp:anchor distT="0" distB="0" distL="114300" distR="114300" simplePos="0" relativeHeight="251658240" behindDoc="1" locked="0" layoutInCell="1" allowOverlap="1">
            <wp:simplePos x="0" y="0"/>
            <wp:positionH relativeFrom="column">
              <wp:posOffset>625475</wp:posOffset>
            </wp:positionH>
            <wp:positionV relativeFrom="paragraph">
              <wp:posOffset>53975</wp:posOffset>
            </wp:positionV>
            <wp:extent cx="3844925" cy="2143125"/>
            <wp:effectExtent l="19050" t="0" r="3175" b="0"/>
            <wp:wrapTight wrapText="bothSides">
              <wp:wrapPolygon edited="0">
                <wp:start x="-107" y="0"/>
                <wp:lineTo x="-107" y="21504"/>
                <wp:lineTo x="21618" y="21504"/>
                <wp:lineTo x="21618" y="0"/>
                <wp:lineTo x="-10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897" t="27910" r="30496" b="32893"/>
                    <a:stretch/>
                  </pic:blipFill>
                  <pic:spPr bwMode="auto">
                    <a:xfrm>
                      <a:off x="0" y="0"/>
                      <a:ext cx="3844925" cy="2143125"/>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jc w:val="both"/>
        <w:rPr>
          <w:rFonts w:ascii="Avenir-Book" w:hAnsi="Avenir-Book" w:cs="Arial"/>
          <w:sz w:val="22"/>
          <w:szCs w:val="22"/>
        </w:rPr>
      </w:pPr>
    </w:p>
    <w:p w:rsidR="00AF527F" w:rsidRPr="00AD165E" w:rsidRDefault="00AF527F" w:rsidP="000E67BC">
      <w:pPr>
        <w:autoSpaceDE w:val="0"/>
        <w:autoSpaceDN w:val="0"/>
        <w:adjustRightInd w:val="0"/>
        <w:jc w:val="both"/>
        <w:rPr>
          <w:rFonts w:ascii="Avenir-Book" w:hAnsi="Avenir-Book" w:cs="Arial"/>
          <w:sz w:val="22"/>
          <w:szCs w:val="22"/>
        </w:rPr>
      </w:pPr>
    </w:p>
    <w:p w:rsidR="00AF527F" w:rsidRPr="00AD165E" w:rsidRDefault="00AF527F" w:rsidP="000E67BC">
      <w:pPr>
        <w:autoSpaceDE w:val="0"/>
        <w:autoSpaceDN w:val="0"/>
        <w:adjustRightInd w:val="0"/>
        <w:jc w:val="both"/>
        <w:rPr>
          <w:rFonts w:ascii="Avenir-Book" w:hAnsi="Avenir-Book" w:cs="Arial"/>
          <w:sz w:val="22"/>
          <w:szCs w:val="22"/>
        </w:rPr>
      </w:pPr>
    </w:p>
    <w:p w:rsidR="009A7A51" w:rsidRPr="00AD165E" w:rsidRDefault="009A7A51" w:rsidP="000E67BC">
      <w:pPr>
        <w:autoSpaceDE w:val="0"/>
        <w:autoSpaceDN w:val="0"/>
        <w:adjustRightInd w:val="0"/>
        <w:jc w:val="both"/>
        <w:rPr>
          <w:rFonts w:ascii="Avenir-Book" w:hAnsi="Avenir-Book" w:cs="Arial"/>
          <w:sz w:val="22"/>
          <w:szCs w:val="22"/>
        </w:rPr>
      </w:pPr>
    </w:p>
    <w:p w:rsidR="009A7A51" w:rsidRPr="00AD165E" w:rsidRDefault="009A7A51"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Se prevé una inflación anual para el cierre de 2019 de 3.4%, igual a la estimada para el</w:t>
      </w:r>
      <w:r w:rsidR="00F910D9" w:rsidRPr="00AD165E">
        <w:rPr>
          <w:rFonts w:ascii="Avenir-Book" w:hAnsi="Avenir-Book" w:cs="Arial"/>
          <w:sz w:val="22"/>
          <w:szCs w:val="22"/>
        </w:rPr>
        <w:t xml:space="preserve"> </w:t>
      </w:r>
      <w:r w:rsidRPr="00AD165E">
        <w:rPr>
          <w:rFonts w:ascii="Avenir-Book" w:hAnsi="Avenir-Book" w:cs="Arial"/>
          <w:sz w:val="22"/>
          <w:szCs w:val="22"/>
        </w:rPr>
        <w:t>cuarto trimestre por el Banco de México, según lo publicado en su Informe Trimestral</w:t>
      </w:r>
      <w:r w:rsidR="00F910D9" w:rsidRPr="00AD165E">
        <w:rPr>
          <w:rFonts w:ascii="Avenir-Book" w:hAnsi="Avenir-Book" w:cs="Arial"/>
          <w:sz w:val="22"/>
          <w:szCs w:val="22"/>
        </w:rPr>
        <w:t xml:space="preserve"> </w:t>
      </w:r>
      <w:r w:rsidRPr="00AD165E">
        <w:rPr>
          <w:rFonts w:ascii="Avenir-Book" w:hAnsi="Avenir-Book" w:cs="Arial"/>
          <w:sz w:val="22"/>
          <w:szCs w:val="22"/>
        </w:rPr>
        <w:t>julio-septiembre de 2018. Para las estimaciones de finanzas públicas, se utiliza un tipo</w:t>
      </w:r>
      <w:r w:rsidR="00F910D9" w:rsidRPr="00AD165E">
        <w:rPr>
          <w:rFonts w:ascii="Avenir-Book" w:hAnsi="Avenir-Book" w:cs="Arial"/>
          <w:sz w:val="22"/>
          <w:szCs w:val="22"/>
        </w:rPr>
        <w:t xml:space="preserve"> </w:t>
      </w:r>
      <w:r w:rsidRPr="00AD165E">
        <w:rPr>
          <w:rFonts w:ascii="Avenir-Book" w:hAnsi="Avenir-Book" w:cs="Arial"/>
          <w:sz w:val="22"/>
          <w:szCs w:val="22"/>
        </w:rPr>
        <w:t>de cambio nominal al cierre de 2019 de 20.0 pesos por dólar, ligeramente menor al de20.3 pesos por dólar esperado por los analistas de acuerdo con la Encuesta de</w:t>
      </w:r>
      <w:r w:rsidR="00F910D9" w:rsidRPr="00AD165E">
        <w:rPr>
          <w:rFonts w:ascii="Avenir-Book" w:hAnsi="Avenir-Book" w:cs="Arial"/>
          <w:sz w:val="22"/>
          <w:szCs w:val="22"/>
        </w:rPr>
        <w:t xml:space="preserve"> </w:t>
      </w:r>
      <w:r w:rsidRPr="00AD165E">
        <w:rPr>
          <w:rFonts w:ascii="Avenir-Book" w:hAnsi="Avenir-Book" w:cs="Arial"/>
          <w:sz w:val="22"/>
          <w:szCs w:val="22"/>
        </w:rPr>
        <w:t>Expectativas del Banco de México, publicada el 3 de diciembre de 2018.</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FC50AE">
      <w:pPr>
        <w:autoSpaceDE w:val="0"/>
        <w:autoSpaceDN w:val="0"/>
        <w:adjustRightInd w:val="0"/>
        <w:rPr>
          <w:rFonts w:ascii="Avenir-Book" w:hAnsi="Avenir-Book" w:cs="Arial"/>
          <w:sz w:val="22"/>
          <w:szCs w:val="22"/>
        </w:rPr>
      </w:pPr>
      <w:r w:rsidRPr="00AD165E">
        <w:rPr>
          <w:rFonts w:ascii="Avenir-Book" w:hAnsi="Avenir-Book" w:cs="Arial"/>
          <w:sz w:val="22"/>
          <w:szCs w:val="22"/>
        </w:rPr>
        <w:t>Se estima que durante 2019 la tasa de interés p</w:t>
      </w:r>
      <w:r w:rsidR="00FC50AE" w:rsidRPr="00AD165E">
        <w:rPr>
          <w:rFonts w:ascii="Avenir-Book" w:hAnsi="Avenir-Book" w:cs="Arial"/>
          <w:sz w:val="22"/>
          <w:szCs w:val="22"/>
        </w:rPr>
        <w:t xml:space="preserve">ermanezca constante en el nivel </w:t>
      </w:r>
      <w:r w:rsidRPr="00AD165E">
        <w:rPr>
          <w:rFonts w:ascii="Avenir-Book" w:hAnsi="Avenir-Book" w:cs="Arial"/>
          <w:sz w:val="22"/>
          <w:szCs w:val="22"/>
        </w:rPr>
        <w:t>esperado para el cierre de 2018 de 8.3%, que es igual a la esperada por el sector privado.</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El entorno macroeconómico previsto para 2019 se encuentra sujeto a diversos riesgos.</w:t>
      </w:r>
      <w:r w:rsidR="00F910D9" w:rsidRPr="00AD165E">
        <w:rPr>
          <w:rFonts w:ascii="Avenir-Book" w:hAnsi="Avenir-Book" w:cs="Arial"/>
          <w:sz w:val="22"/>
          <w:szCs w:val="22"/>
        </w:rPr>
        <w:t xml:space="preserve"> </w:t>
      </w:r>
      <w:r w:rsidRPr="00AD165E">
        <w:rPr>
          <w:rFonts w:ascii="Avenir-Book" w:hAnsi="Avenir-Book" w:cs="Arial"/>
          <w:sz w:val="22"/>
          <w:szCs w:val="22"/>
        </w:rPr>
        <w:t>Destacan como riesgos a la baja:</w:t>
      </w:r>
    </w:p>
    <w:p w:rsidR="00FC50AE" w:rsidRPr="00AD165E" w:rsidRDefault="00FC50AE" w:rsidP="000E67BC">
      <w:pPr>
        <w:autoSpaceDE w:val="0"/>
        <w:autoSpaceDN w:val="0"/>
        <w:adjustRightInd w:val="0"/>
        <w:jc w:val="both"/>
        <w:rPr>
          <w:rFonts w:ascii="Avenir-Book" w:hAnsi="Avenir-Book" w:cs="Arial"/>
          <w:sz w:val="22"/>
          <w:szCs w:val="22"/>
        </w:rPr>
      </w:pPr>
    </w:p>
    <w:p w:rsidR="000E67BC" w:rsidRPr="00AD165E" w:rsidRDefault="000E67BC" w:rsidP="000E67BC">
      <w:pPr>
        <w:pStyle w:val="Prrafodelista"/>
        <w:numPr>
          <w:ilvl w:val="0"/>
          <w:numId w:val="19"/>
        </w:numPr>
        <w:autoSpaceDE w:val="0"/>
        <w:autoSpaceDN w:val="0"/>
        <w:adjustRightInd w:val="0"/>
        <w:spacing w:after="0" w:line="240" w:lineRule="auto"/>
        <w:ind w:left="284" w:hanging="284"/>
        <w:jc w:val="both"/>
        <w:rPr>
          <w:rFonts w:ascii="Avenir-Book" w:hAnsi="Avenir-Book" w:cs="Arial"/>
        </w:rPr>
      </w:pPr>
      <w:r w:rsidRPr="00AD165E">
        <w:rPr>
          <w:rFonts w:ascii="Avenir-Book" w:hAnsi="Avenir-Book" w:cs="Arial"/>
        </w:rPr>
        <w:t>una mayor desaceleración de la economía mundial y, en particular, de la estadounidense;</w:t>
      </w:r>
    </w:p>
    <w:p w:rsidR="000E67BC" w:rsidRPr="00AD165E" w:rsidRDefault="000E67BC" w:rsidP="000E67BC">
      <w:pPr>
        <w:pStyle w:val="Prrafodelista"/>
        <w:numPr>
          <w:ilvl w:val="0"/>
          <w:numId w:val="19"/>
        </w:numPr>
        <w:autoSpaceDE w:val="0"/>
        <w:autoSpaceDN w:val="0"/>
        <w:adjustRightInd w:val="0"/>
        <w:spacing w:after="0" w:line="240" w:lineRule="auto"/>
        <w:ind w:left="284" w:hanging="284"/>
        <w:jc w:val="both"/>
        <w:rPr>
          <w:rFonts w:ascii="Avenir-Book" w:hAnsi="Avenir-Book" w:cs="Arial"/>
        </w:rPr>
      </w:pPr>
      <w:r w:rsidRPr="00AD165E">
        <w:rPr>
          <w:rFonts w:ascii="Avenir-Book" w:hAnsi="Avenir-Book" w:cs="Arial"/>
        </w:rPr>
        <w:t>problemas con la aprobación por parte de los poderes legislativos de los tres países del acuerdo comercial alcanzado en la negociación entre Estados Unidos de América, Canadá y México, así como el riesgo de</w:t>
      </w:r>
      <w:r w:rsidR="00F910D9" w:rsidRPr="00AD165E">
        <w:rPr>
          <w:rFonts w:ascii="Avenir-Book" w:hAnsi="Avenir-Book" w:cs="Arial"/>
        </w:rPr>
        <w:t xml:space="preserve"> </w:t>
      </w:r>
      <w:r w:rsidRPr="00AD165E">
        <w:rPr>
          <w:rFonts w:ascii="Avenir-Book" w:hAnsi="Avenir-Book" w:cs="Arial"/>
        </w:rPr>
        <w:t>un escalamiento de los conflictos comerciales a nivel mundial, que a su vez podrían afectar la productividad y el crecimiento global;</w:t>
      </w:r>
    </w:p>
    <w:p w:rsidR="000E67BC" w:rsidRPr="00AD165E" w:rsidRDefault="000E67BC" w:rsidP="000E67BC">
      <w:pPr>
        <w:pStyle w:val="Prrafodelista"/>
        <w:numPr>
          <w:ilvl w:val="0"/>
          <w:numId w:val="19"/>
        </w:numPr>
        <w:autoSpaceDE w:val="0"/>
        <w:autoSpaceDN w:val="0"/>
        <w:adjustRightInd w:val="0"/>
        <w:spacing w:after="0" w:line="240" w:lineRule="auto"/>
        <w:ind w:left="284" w:hanging="284"/>
        <w:jc w:val="both"/>
        <w:rPr>
          <w:rFonts w:ascii="Avenir-Book" w:hAnsi="Avenir-Book" w:cs="Arial"/>
        </w:rPr>
      </w:pPr>
      <w:r w:rsidRPr="00AD165E">
        <w:rPr>
          <w:rFonts w:ascii="Avenir-Book" w:hAnsi="Avenir-Book" w:cs="Arial"/>
        </w:rPr>
        <w:t>un mayor endurecimiento de las condiciones financieras ante la normalización de la política monetaria de la Reserva Federal, que pudiera ser más acelerada de lo que se preveía o desordenada; y</w:t>
      </w:r>
    </w:p>
    <w:p w:rsidR="000E67BC" w:rsidRPr="00AD165E" w:rsidRDefault="000E67BC" w:rsidP="000E67BC">
      <w:pPr>
        <w:pStyle w:val="Prrafodelista"/>
        <w:numPr>
          <w:ilvl w:val="0"/>
          <w:numId w:val="19"/>
        </w:numPr>
        <w:autoSpaceDE w:val="0"/>
        <w:autoSpaceDN w:val="0"/>
        <w:adjustRightInd w:val="0"/>
        <w:spacing w:after="0" w:line="240" w:lineRule="auto"/>
        <w:ind w:left="284" w:hanging="284"/>
        <w:jc w:val="both"/>
        <w:rPr>
          <w:rFonts w:ascii="Avenir-Book" w:hAnsi="Avenir-Book" w:cs="Arial"/>
        </w:rPr>
      </w:pPr>
      <w:r w:rsidRPr="00AD165E">
        <w:rPr>
          <w:rFonts w:ascii="Avenir-Book" w:hAnsi="Avenir-Book" w:cs="Arial"/>
        </w:rPr>
        <w:t>riesgos de contagio de algunas tensiones geopolíticas en algunos países que pudieran causar</w:t>
      </w:r>
      <w:r w:rsidR="00F910D9" w:rsidRPr="00AD165E">
        <w:rPr>
          <w:rFonts w:ascii="Avenir-Book" w:hAnsi="Avenir-Book" w:cs="Arial"/>
        </w:rPr>
        <w:t xml:space="preserve"> </w:t>
      </w:r>
      <w:r w:rsidRPr="00AD165E">
        <w:rPr>
          <w:rFonts w:ascii="Avenir-Book" w:hAnsi="Avenir-Book" w:cs="Arial"/>
        </w:rPr>
        <w:t>una mayor reversión de los flujos de las economías emergentes a las avanzadas.</w:t>
      </w:r>
    </w:p>
    <w:p w:rsidR="003247D6" w:rsidRDefault="003247D6" w:rsidP="000E67BC">
      <w:pPr>
        <w:autoSpaceDE w:val="0"/>
        <w:autoSpaceDN w:val="0"/>
        <w:adjustRightInd w:val="0"/>
        <w:jc w:val="both"/>
        <w:rPr>
          <w:rFonts w:ascii="Avenir-Book" w:hAnsi="Avenir-Book" w:cs="Arial"/>
          <w:sz w:val="22"/>
          <w:szCs w:val="22"/>
        </w:rPr>
      </w:pPr>
    </w:p>
    <w:p w:rsidR="007F6463" w:rsidRDefault="007F6463" w:rsidP="000E67BC">
      <w:pPr>
        <w:autoSpaceDE w:val="0"/>
        <w:autoSpaceDN w:val="0"/>
        <w:adjustRightInd w:val="0"/>
        <w:jc w:val="both"/>
        <w:rPr>
          <w:rFonts w:ascii="Avenir-Book" w:hAnsi="Avenir-Book" w:cs="Arial"/>
          <w:sz w:val="22"/>
          <w:szCs w:val="22"/>
        </w:rPr>
      </w:pPr>
    </w:p>
    <w:p w:rsidR="007F6463" w:rsidRDefault="007F6463" w:rsidP="000E67BC">
      <w:pPr>
        <w:autoSpaceDE w:val="0"/>
        <w:autoSpaceDN w:val="0"/>
        <w:adjustRightInd w:val="0"/>
        <w:jc w:val="both"/>
        <w:rPr>
          <w:rFonts w:ascii="Avenir-Book" w:hAnsi="Avenir-Book" w:cs="Arial"/>
          <w:sz w:val="22"/>
          <w:szCs w:val="22"/>
        </w:rPr>
      </w:pPr>
    </w:p>
    <w:p w:rsidR="007F6463" w:rsidRPr="00AD165E" w:rsidRDefault="007F6463" w:rsidP="000E67BC">
      <w:pPr>
        <w:autoSpaceDE w:val="0"/>
        <w:autoSpaceDN w:val="0"/>
        <w:adjustRightInd w:val="0"/>
        <w:jc w:val="both"/>
        <w:rPr>
          <w:rFonts w:ascii="Avenir-Book" w:hAnsi="Avenir-Book" w:cs="Arial"/>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Precio del petróleo</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El precio máximo de referencia resultante para la mezcla mexicana de crudo de</w:t>
      </w:r>
      <w:r w:rsidR="00F910D9" w:rsidRPr="00AD165E">
        <w:rPr>
          <w:rFonts w:ascii="Avenir-Book" w:hAnsi="Avenir-Book" w:cs="Arial"/>
          <w:sz w:val="22"/>
          <w:szCs w:val="22"/>
        </w:rPr>
        <w:t xml:space="preserve"> </w:t>
      </w:r>
      <w:r w:rsidRPr="00AD165E">
        <w:rPr>
          <w:rFonts w:ascii="Avenir-Book" w:hAnsi="Avenir-Book" w:cs="Arial"/>
          <w:sz w:val="22"/>
          <w:szCs w:val="22"/>
        </w:rPr>
        <w:t>exportación en 2019 es de 59.4 dpb. La LFPRH establece que el valor del precio que se</w:t>
      </w:r>
      <w:r w:rsidR="00F910D9" w:rsidRPr="00AD165E">
        <w:rPr>
          <w:rFonts w:ascii="Avenir-Book" w:hAnsi="Avenir-Book" w:cs="Arial"/>
          <w:sz w:val="22"/>
          <w:szCs w:val="22"/>
        </w:rPr>
        <w:t xml:space="preserve"> </w:t>
      </w:r>
      <w:r w:rsidRPr="00AD165E">
        <w:rPr>
          <w:rFonts w:ascii="Avenir-Book" w:hAnsi="Avenir-Book" w:cs="Arial"/>
          <w:sz w:val="22"/>
          <w:szCs w:val="22"/>
        </w:rPr>
        <w:t>utilice como parámetro en la formulación de la Ley de Ingresos de la Federación (LIF)</w:t>
      </w:r>
      <w:r w:rsidR="00F910D9" w:rsidRPr="00AD165E">
        <w:rPr>
          <w:rFonts w:ascii="Avenir-Book" w:hAnsi="Avenir-Book" w:cs="Arial"/>
          <w:sz w:val="22"/>
          <w:szCs w:val="22"/>
        </w:rPr>
        <w:t xml:space="preserve"> </w:t>
      </w:r>
      <w:r w:rsidRPr="00AD165E">
        <w:rPr>
          <w:rFonts w:ascii="Avenir-Book" w:hAnsi="Avenir-Book" w:cs="Arial"/>
          <w:sz w:val="22"/>
          <w:szCs w:val="22"/>
        </w:rPr>
        <w:t>no deberá supera al cálculo obtenido por esta fórmula. En este contexto, se propone</w:t>
      </w:r>
      <w:r w:rsidR="00F910D9" w:rsidRPr="00AD165E">
        <w:rPr>
          <w:rFonts w:ascii="Avenir-Book" w:hAnsi="Avenir-Book" w:cs="Arial"/>
          <w:sz w:val="22"/>
          <w:szCs w:val="22"/>
        </w:rPr>
        <w:t xml:space="preserve"> </w:t>
      </w:r>
      <w:r w:rsidRPr="00AD165E">
        <w:rPr>
          <w:rFonts w:ascii="Avenir-Book" w:hAnsi="Avenir-Book" w:cs="Arial"/>
          <w:sz w:val="22"/>
          <w:szCs w:val="22"/>
        </w:rPr>
        <w:t>usar un precio para la mezcla mexicana de exportación en 2019 de 55.0 dpb.</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Este precio representa una posición conservadora en torno al posible</w:t>
      </w:r>
      <w:r w:rsidR="00F910D9" w:rsidRPr="00AD165E">
        <w:rPr>
          <w:rFonts w:ascii="Avenir-Book" w:hAnsi="Avenir-Book" w:cs="Arial"/>
          <w:sz w:val="22"/>
          <w:szCs w:val="22"/>
        </w:rPr>
        <w:t xml:space="preserve"> </w:t>
      </w:r>
      <w:r w:rsidRPr="00AD165E">
        <w:rPr>
          <w:rFonts w:ascii="Avenir-Book" w:hAnsi="Avenir-Book" w:cs="Arial"/>
          <w:sz w:val="22"/>
          <w:szCs w:val="22"/>
        </w:rPr>
        <w:t>comportamiento futuro de los precios internacionales del petróleo y garantiza</w:t>
      </w:r>
      <w:r w:rsidR="00F910D9" w:rsidRPr="00AD165E">
        <w:rPr>
          <w:rFonts w:ascii="Avenir-Book" w:hAnsi="Avenir-Book" w:cs="Arial"/>
          <w:sz w:val="22"/>
          <w:szCs w:val="22"/>
        </w:rPr>
        <w:t xml:space="preserve"> </w:t>
      </w:r>
      <w:r w:rsidRPr="00AD165E">
        <w:rPr>
          <w:rFonts w:ascii="Avenir-Book" w:hAnsi="Avenir-Book" w:cs="Arial"/>
          <w:sz w:val="22"/>
          <w:szCs w:val="22"/>
        </w:rPr>
        <w:t>protección a las finanzas públicas ante cualquier posible sobreestimación de los</w:t>
      </w:r>
      <w:r w:rsidR="00F910D9" w:rsidRPr="00AD165E">
        <w:rPr>
          <w:rFonts w:ascii="Avenir-Book" w:hAnsi="Avenir-Book" w:cs="Arial"/>
          <w:sz w:val="22"/>
          <w:szCs w:val="22"/>
        </w:rPr>
        <w:t xml:space="preserve"> </w:t>
      </w:r>
      <w:r w:rsidRPr="00AD165E">
        <w:rPr>
          <w:rFonts w:ascii="Avenir-Book" w:hAnsi="Avenir-Book" w:cs="Arial"/>
          <w:sz w:val="22"/>
          <w:szCs w:val="22"/>
        </w:rPr>
        <w:t>recursos derivados de ingresos procedentes del petróleo.</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Se espera que en 2019 la plataforma de producción total de crudo se ubique en 1,847miles de barriles diarios (mbd). Esta estimación es consistente con el rango de</w:t>
      </w:r>
      <w:r w:rsidR="00F910D9" w:rsidRPr="00AD165E">
        <w:rPr>
          <w:rFonts w:ascii="Avenir-Book" w:hAnsi="Avenir-Book" w:cs="Arial"/>
          <w:sz w:val="22"/>
          <w:szCs w:val="22"/>
        </w:rPr>
        <w:t xml:space="preserve"> </w:t>
      </w:r>
      <w:r w:rsidRPr="00AD165E">
        <w:rPr>
          <w:rFonts w:ascii="Avenir-Book" w:hAnsi="Avenir-Book" w:cs="Arial"/>
          <w:sz w:val="22"/>
          <w:szCs w:val="22"/>
        </w:rPr>
        <w:t>producción estimado por la Secretaría de Energía conforme a lo especificado en el</w:t>
      </w:r>
      <w:r w:rsidR="00F910D9" w:rsidRPr="00AD165E">
        <w:rPr>
          <w:rFonts w:ascii="Avenir-Book" w:hAnsi="Avenir-Book" w:cs="Arial"/>
          <w:sz w:val="22"/>
          <w:szCs w:val="22"/>
        </w:rPr>
        <w:t xml:space="preserve"> </w:t>
      </w:r>
      <w:r w:rsidRPr="00AD165E">
        <w:rPr>
          <w:rFonts w:ascii="Avenir-Book" w:hAnsi="Avenir-Book" w:cs="Arial"/>
          <w:sz w:val="22"/>
          <w:szCs w:val="22"/>
        </w:rPr>
        <w:t>Artículo 33, fracción XVII de la Ley Orgánica de la Administración Pública Federal. La</w:t>
      </w:r>
      <w:r w:rsidR="00F910D9" w:rsidRPr="00AD165E">
        <w:rPr>
          <w:rFonts w:ascii="Avenir-Book" w:hAnsi="Avenir-Book" w:cs="Arial"/>
          <w:sz w:val="22"/>
          <w:szCs w:val="22"/>
        </w:rPr>
        <w:t xml:space="preserve"> </w:t>
      </w:r>
      <w:r w:rsidRPr="00AD165E">
        <w:rPr>
          <w:rFonts w:ascii="Avenir-Book" w:hAnsi="Avenir-Book" w:cs="Arial"/>
          <w:sz w:val="22"/>
          <w:szCs w:val="22"/>
        </w:rPr>
        <w:t>estimación de la plataforma incluye una producción de petróleo crudo de Pemex de1,801 mbd, así como la producción de agentes privados, considerando los contratos de</w:t>
      </w:r>
      <w:r w:rsidR="00F910D9" w:rsidRPr="00AD165E">
        <w:rPr>
          <w:rFonts w:ascii="Avenir-Book" w:hAnsi="Avenir-Book" w:cs="Arial"/>
          <w:sz w:val="22"/>
          <w:szCs w:val="22"/>
        </w:rPr>
        <w:t xml:space="preserve"> </w:t>
      </w:r>
      <w:r w:rsidRPr="00AD165E">
        <w:rPr>
          <w:rFonts w:ascii="Avenir-Book" w:hAnsi="Avenir-Book" w:cs="Arial"/>
          <w:sz w:val="22"/>
          <w:szCs w:val="22"/>
        </w:rPr>
        <w:t>licencia y producción compartida adjudicados en las Rondas de licitaciones, las</w:t>
      </w:r>
      <w:r w:rsidR="00F910D9" w:rsidRPr="00AD165E">
        <w:rPr>
          <w:rFonts w:ascii="Avenir-Book" w:hAnsi="Avenir-Book" w:cs="Arial"/>
          <w:sz w:val="22"/>
          <w:szCs w:val="22"/>
        </w:rPr>
        <w:t xml:space="preserve"> </w:t>
      </w:r>
      <w:r w:rsidRPr="00AD165E">
        <w:rPr>
          <w:rFonts w:ascii="Avenir-Book" w:hAnsi="Avenir-Book" w:cs="Arial"/>
          <w:sz w:val="22"/>
          <w:szCs w:val="22"/>
        </w:rPr>
        <w:t>migraciones de contratos y las asociaciones estratégicas con Pemex (farmouts).</w:t>
      </w:r>
    </w:p>
    <w:p w:rsidR="000E67BC" w:rsidRPr="00AD165E" w:rsidRDefault="000E67BC" w:rsidP="000E67BC">
      <w:pPr>
        <w:autoSpaceDE w:val="0"/>
        <w:autoSpaceDN w:val="0"/>
        <w:adjustRightInd w:val="0"/>
        <w:jc w:val="both"/>
        <w:rPr>
          <w:rFonts w:ascii="Avenir-Book" w:eastAsiaTheme="minorHAnsi" w:hAnsi="Avenir-Book" w:cs="Montserrat-Light"/>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noProof/>
          <w:sz w:val="22"/>
          <w:szCs w:val="22"/>
          <w:lang w:val="es-MX" w:eastAsia="es-MX"/>
        </w:rPr>
        <w:drawing>
          <wp:anchor distT="0" distB="0" distL="114300" distR="114300" simplePos="0" relativeHeight="251662336" behindDoc="1" locked="0" layoutInCell="1" allowOverlap="1">
            <wp:simplePos x="0" y="0"/>
            <wp:positionH relativeFrom="column">
              <wp:posOffset>360045</wp:posOffset>
            </wp:positionH>
            <wp:positionV relativeFrom="paragraph">
              <wp:posOffset>-3175</wp:posOffset>
            </wp:positionV>
            <wp:extent cx="4511040" cy="3855720"/>
            <wp:effectExtent l="0" t="0" r="3810" b="0"/>
            <wp:wrapTight wrapText="bothSides">
              <wp:wrapPolygon edited="0">
                <wp:start x="0" y="0"/>
                <wp:lineTo x="0" y="21451"/>
                <wp:lineTo x="21527" y="21451"/>
                <wp:lineTo x="2152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4963" t="23806" r="29424" b="6852"/>
                    <a:stretch/>
                  </pic:blipFill>
                  <pic:spPr bwMode="auto">
                    <a:xfrm>
                      <a:off x="0" y="0"/>
                      <a:ext cx="4511040" cy="3855720"/>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0E67BC" w:rsidRPr="00AD165E" w:rsidRDefault="000E67BC" w:rsidP="000E67BC">
      <w:pPr>
        <w:rPr>
          <w:rFonts w:ascii="Avenir-Book" w:hAnsi="Avenir-Book" w:cs="Arial"/>
          <w:sz w:val="22"/>
          <w:szCs w:val="22"/>
        </w:rPr>
      </w:pPr>
    </w:p>
    <w:p w:rsidR="007E61F1" w:rsidRPr="00AD165E" w:rsidRDefault="007E61F1" w:rsidP="000E67BC">
      <w:pPr>
        <w:spacing w:after="100" w:afterAutospacing="1"/>
        <w:ind w:right="-93"/>
        <w:jc w:val="both"/>
        <w:rPr>
          <w:rFonts w:ascii="Avenir-Book" w:hAnsi="Avenir-Book" w:cs="Arial"/>
          <w:b/>
          <w:sz w:val="22"/>
          <w:szCs w:val="22"/>
        </w:rPr>
      </w:pPr>
    </w:p>
    <w:p w:rsidR="007E61F1" w:rsidRPr="00AD165E" w:rsidRDefault="007E61F1" w:rsidP="000E67BC">
      <w:pPr>
        <w:spacing w:after="100" w:afterAutospacing="1"/>
        <w:ind w:right="-93"/>
        <w:jc w:val="both"/>
        <w:rPr>
          <w:rFonts w:ascii="Avenir-Book" w:hAnsi="Avenir-Book" w:cs="Arial"/>
          <w:b/>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Ingresos presupuestarios</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el ejercicio fiscal 2019, se presupuestan ingresos por 5,274.4 mmp, superiores en</w:t>
      </w:r>
      <w:r w:rsidR="00F910D9" w:rsidRPr="00AD165E">
        <w:rPr>
          <w:rFonts w:ascii="Avenir-Book" w:hAnsi="Avenir-Book" w:cs="Arial"/>
          <w:sz w:val="22"/>
          <w:szCs w:val="22"/>
        </w:rPr>
        <w:t xml:space="preserve"> </w:t>
      </w:r>
      <w:r w:rsidRPr="00AD165E">
        <w:rPr>
          <w:rFonts w:ascii="Avenir-Book" w:hAnsi="Avenir-Book" w:cs="Arial"/>
          <w:sz w:val="22"/>
          <w:szCs w:val="22"/>
        </w:rPr>
        <w:t>312 mmp respecto a la LIF 2018 (una variación real de 6.3%) y menores en 28.7 mmp a</w:t>
      </w:r>
      <w:r w:rsidR="00F910D9" w:rsidRPr="00AD165E">
        <w:rPr>
          <w:rFonts w:ascii="Avenir-Book" w:hAnsi="Avenir-Book" w:cs="Arial"/>
          <w:sz w:val="22"/>
          <w:szCs w:val="22"/>
        </w:rPr>
        <w:t xml:space="preserve"> </w:t>
      </w:r>
      <w:r w:rsidRPr="00AD165E">
        <w:rPr>
          <w:rFonts w:ascii="Avenir-Book" w:hAnsi="Avenir-Book" w:cs="Arial"/>
          <w:sz w:val="22"/>
          <w:szCs w:val="22"/>
        </w:rPr>
        <w:t>los ingresos que se esperan para el cierre del presente ejercicio (una reducción de 0.5%).</w:t>
      </w:r>
    </w:p>
    <w:p w:rsidR="000E67BC" w:rsidRPr="00AD165E" w:rsidRDefault="000E67BC" w:rsidP="000E67BC">
      <w:pPr>
        <w:autoSpaceDE w:val="0"/>
        <w:autoSpaceDN w:val="0"/>
        <w:adjustRightInd w:val="0"/>
        <w:jc w:val="both"/>
        <w:rPr>
          <w:rFonts w:ascii="Avenir-Book" w:hAnsi="Avenir-Book" w:cs="Arial"/>
          <w:sz w:val="22"/>
          <w:szCs w:val="22"/>
        </w:rPr>
      </w:pPr>
    </w:p>
    <w:p w:rsidR="00AF527F" w:rsidRPr="00AD165E" w:rsidRDefault="000E67BC" w:rsidP="002E536D">
      <w:pPr>
        <w:pStyle w:val="Prrafodelista"/>
        <w:numPr>
          <w:ilvl w:val="0"/>
          <w:numId w:val="21"/>
        </w:numPr>
        <w:autoSpaceDE w:val="0"/>
        <w:autoSpaceDN w:val="0"/>
        <w:adjustRightInd w:val="0"/>
        <w:jc w:val="both"/>
        <w:rPr>
          <w:rFonts w:ascii="Avenir-Book" w:hAnsi="Avenir-Book" w:cs="Arial"/>
        </w:rPr>
      </w:pPr>
      <w:r w:rsidRPr="00AD165E">
        <w:rPr>
          <w:rFonts w:ascii="Avenir-Book" w:hAnsi="Avenir-Book" w:cs="Arial"/>
        </w:rPr>
        <w:t>Ingresos petroleros</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La ILIF 2019 contempla un crecimiento real de 1.0% de los ingresos petroleros respecto</w:t>
      </w:r>
      <w:r w:rsidR="00F910D9" w:rsidRPr="00AD165E">
        <w:rPr>
          <w:rFonts w:ascii="Avenir-Book" w:hAnsi="Avenir-Book" w:cs="Arial"/>
          <w:sz w:val="22"/>
          <w:szCs w:val="22"/>
        </w:rPr>
        <w:t xml:space="preserve"> </w:t>
      </w:r>
      <w:r w:rsidRPr="00AD165E">
        <w:rPr>
          <w:rFonts w:ascii="Avenir-Book" w:hAnsi="Avenir-Book" w:cs="Arial"/>
          <w:sz w:val="22"/>
          <w:szCs w:val="22"/>
        </w:rPr>
        <w:t>al estimado al cierre de 2018. Este incremento es principalmente resultado de un mayor</w:t>
      </w:r>
      <w:r w:rsidR="00F910D9" w:rsidRPr="00AD165E">
        <w:rPr>
          <w:rFonts w:ascii="Avenir-Book" w:hAnsi="Avenir-Book" w:cs="Arial"/>
          <w:sz w:val="22"/>
          <w:szCs w:val="22"/>
        </w:rPr>
        <w:t xml:space="preserve"> </w:t>
      </w:r>
      <w:r w:rsidRPr="00AD165E">
        <w:rPr>
          <w:rFonts w:ascii="Avenir-Book" w:hAnsi="Avenir-Book" w:cs="Arial"/>
          <w:sz w:val="22"/>
          <w:szCs w:val="22"/>
        </w:rPr>
        <w:t>tipo de cambio (20.0 pesos por dólar).</w:t>
      </w:r>
    </w:p>
    <w:p w:rsidR="000E67BC" w:rsidRPr="00AD165E" w:rsidRDefault="000E67BC" w:rsidP="000E67BC">
      <w:pPr>
        <w:autoSpaceDE w:val="0"/>
        <w:autoSpaceDN w:val="0"/>
        <w:adjustRightInd w:val="0"/>
        <w:jc w:val="both"/>
        <w:rPr>
          <w:rFonts w:ascii="Avenir-Book" w:hAnsi="Avenir-Book" w:cs="Arial"/>
          <w:sz w:val="22"/>
          <w:szCs w:val="22"/>
        </w:rPr>
      </w:pPr>
    </w:p>
    <w:p w:rsidR="00AF527F" w:rsidRPr="00AD165E" w:rsidRDefault="000E67BC" w:rsidP="002E536D">
      <w:pPr>
        <w:pStyle w:val="Prrafodelista"/>
        <w:numPr>
          <w:ilvl w:val="0"/>
          <w:numId w:val="21"/>
        </w:numPr>
        <w:autoSpaceDE w:val="0"/>
        <w:autoSpaceDN w:val="0"/>
        <w:adjustRightInd w:val="0"/>
        <w:jc w:val="both"/>
        <w:rPr>
          <w:rFonts w:ascii="Avenir-Book" w:hAnsi="Avenir-Book" w:cs="Arial"/>
        </w:rPr>
      </w:pPr>
      <w:r w:rsidRPr="00AD165E">
        <w:rPr>
          <w:rFonts w:ascii="Avenir-Book" w:hAnsi="Avenir-Book" w:cs="Arial"/>
        </w:rPr>
        <w:t>Ingresos tributarios</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el ejercicio 2019 se están presupuestando ingresos tributarios sin IEPS de gasolinas</w:t>
      </w:r>
      <w:r w:rsidR="00F910D9" w:rsidRPr="00AD165E">
        <w:rPr>
          <w:rFonts w:ascii="Avenir-Book" w:hAnsi="Avenir-Book" w:cs="Arial"/>
          <w:sz w:val="22"/>
          <w:szCs w:val="22"/>
        </w:rPr>
        <w:t xml:space="preserve"> </w:t>
      </w:r>
      <w:r w:rsidRPr="00AD165E">
        <w:rPr>
          <w:rFonts w:ascii="Avenir-Book" w:hAnsi="Avenir-Book" w:cs="Arial"/>
          <w:sz w:val="22"/>
          <w:szCs w:val="22"/>
        </w:rPr>
        <w:t>por un monto de 3,018.3 mmp, lo que implica un crecimiento real respecto al cierre 2018de 1.4%, un crecimiento menor al esperado para la actividad económica y que se explica</w:t>
      </w:r>
      <w:r w:rsidR="00F910D9" w:rsidRPr="00AD165E">
        <w:rPr>
          <w:rFonts w:ascii="Avenir-Book" w:hAnsi="Avenir-Book" w:cs="Arial"/>
          <w:sz w:val="22"/>
          <w:szCs w:val="22"/>
        </w:rPr>
        <w:t xml:space="preserve"> </w:t>
      </w:r>
      <w:r w:rsidRPr="00AD165E">
        <w:rPr>
          <w:rFonts w:ascii="Avenir-Book" w:hAnsi="Avenir-Book" w:cs="Arial"/>
          <w:sz w:val="22"/>
          <w:szCs w:val="22"/>
        </w:rPr>
        <w:t>en parte por el efecto neto del costo fiscal de los beneficios de la frontera norte y las</w:t>
      </w:r>
      <w:r w:rsidR="00F910D9" w:rsidRPr="00AD165E">
        <w:rPr>
          <w:rFonts w:ascii="Avenir-Book" w:hAnsi="Avenir-Book" w:cs="Arial"/>
          <w:sz w:val="22"/>
          <w:szCs w:val="22"/>
        </w:rPr>
        <w:t xml:space="preserve"> </w:t>
      </w:r>
      <w:r w:rsidRPr="00AD165E">
        <w:rPr>
          <w:rFonts w:ascii="Avenir-Book" w:hAnsi="Avenir-Book" w:cs="Arial"/>
          <w:sz w:val="22"/>
          <w:szCs w:val="22"/>
        </w:rPr>
        <w:t>ganancias en eficiencia recaudatoria por la</w:t>
      </w:r>
      <w:r w:rsidR="0093206D" w:rsidRPr="00AD165E">
        <w:rPr>
          <w:rFonts w:ascii="Avenir-Book" w:hAnsi="Avenir-Book" w:cs="Arial"/>
          <w:sz w:val="22"/>
          <w:szCs w:val="22"/>
        </w:rPr>
        <w:t>s</w:t>
      </w:r>
      <w:r w:rsidRPr="00AD165E">
        <w:rPr>
          <w:rFonts w:ascii="Avenir-Book" w:hAnsi="Avenir-Book" w:cs="Arial"/>
          <w:sz w:val="22"/>
          <w:szCs w:val="22"/>
        </w:rPr>
        <w:t xml:space="preserve"> medidas administrativas y el combate a la</w:t>
      </w:r>
      <w:r w:rsidR="00F910D9" w:rsidRPr="00AD165E">
        <w:rPr>
          <w:rFonts w:ascii="Avenir-Book" w:hAnsi="Avenir-Book" w:cs="Arial"/>
          <w:sz w:val="22"/>
          <w:szCs w:val="22"/>
        </w:rPr>
        <w:t xml:space="preserve"> </w:t>
      </w:r>
      <w:r w:rsidRPr="00AD165E">
        <w:rPr>
          <w:rFonts w:ascii="Avenir-Book" w:hAnsi="Avenir-Book" w:cs="Arial"/>
          <w:sz w:val="22"/>
          <w:szCs w:val="22"/>
        </w:rPr>
        <w:t>evasión y elusión fiscales. Por su parte, el incremento de 7.7% real respecto a la LIF 2018,</w:t>
      </w:r>
      <w:r w:rsidR="0093206D" w:rsidRPr="00AD165E">
        <w:rPr>
          <w:rFonts w:ascii="Avenir-Book" w:hAnsi="Avenir-Book" w:cs="Arial"/>
          <w:sz w:val="22"/>
          <w:szCs w:val="22"/>
        </w:rPr>
        <w:t xml:space="preserve"> </w:t>
      </w:r>
      <w:r w:rsidRPr="00AD165E">
        <w:rPr>
          <w:rFonts w:ascii="Avenir-Book" w:hAnsi="Avenir-Book" w:cs="Arial"/>
          <w:sz w:val="22"/>
          <w:szCs w:val="22"/>
        </w:rPr>
        <w:t>refleja fundamentalmente la eliminación del sesgo de subestimación por menores</w:t>
      </w:r>
      <w:r w:rsidR="00F910D9" w:rsidRPr="00AD165E">
        <w:rPr>
          <w:rFonts w:ascii="Avenir-Book" w:hAnsi="Avenir-Book" w:cs="Arial"/>
          <w:sz w:val="22"/>
          <w:szCs w:val="22"/>
        </w:rPr>
        <w:t xml:space="preserve"> </w:t>
      </w:r>
      <w:r w:rsidRPr="00AD165E">
        <w:rPr>
          <w:rFonts w:ascii="Avenir-Book" w:hAnsi="Avenir-Book" w:cs="Arial"/>
          <w:sz w:val="22"/>
          <w:szCs w:val="22"/>
        </w:rPr>
        <w:t>proyecciones de cierre de año</w:t>
      </w:r>
      <w:r w:rsidR="0093206D" w:rsidRPr="00AD165E">
        <w:rPr>
          <w:rFonts w:ascii="Avenir-Book" w:hAnsi="Avenir-Book" w:cs="Arial"/>
          <w:sz w:val="22"/>
          <w:szCs w:val="22"/>
        </w:rPr>
        <w:t xml:space="preserve">; </w:t>
      </w:r>
      <w:r w:rsidRPr="00AD165E">
        <w:rPr>
          <w:rFonts w:ascii="Avenir-Book" w:hAnsi="Avenir-Book" w:cs="Arial"/>
          <w:sz w:val="22"/>
          <w:szCs w:val="22"/>
        </w:rPr>
        <w:t>la recaudación tributaria total, es decir, incluyendo el IEPS de gasolinas, se</w:t>
      </w:r>
      <w:r w:rsidR="00F910D9" w:rsidRPr="00AD165E">
        <w:rPr>
          <w:rFonts w:ascii="Avenir-Book" w:hAnsi="Avenir-Book" w:cs="Arial"/>
          <w:sz w:val="22"/>
          <w:szCs w:val="22"/>
        </w:rPr>
        <w:t xml:space="preserve"> </w:t>
      </w:r>
      <w:r w:rsidRPr="00AD165E">
        <w:rPr>
          <w:rFonts w:ascii="Avenir-Book" w:hAnsi="Avenir-Book" w:cs="Arial"/>
          <w:sz w:val="22"/>
          <w:szCs w:val="22"/>
        </w:rPr>
        <w:t>estima crezca a una tasa real anual de 3.8% con respecto al cierre de 2018.</w:t>
      </w:r>
    </w:p>
    <w:p w:rsidR="00AF527F" w:rsidRPr="00AD165E" w:rsidRDefault="000E67BC" w:rsidP="002E536D">
      <w:pPr>
        <w:pStyle w:val="Prrafodelista"/>
        <w:numPr>
          <w:ilvl w:val="0"/>
          <w:numId w:val="21"/>
        </w:numPr>
        <w:autoSpaceDE w:val="0"/>
        <w:autoSpaceDN w:val="0"/>
        <w:adjustRightInd w:val="0"/>
        <w:jc w:val="both"/>
        <w:rPr>
          <w:rFonts w:ascii="Avenir-Book" w:hAnsi="Avenir-Book" w:cs="Arial"/>
        </w:rPr>
      </w:pPr>
      <w:r w:rsidRPr="00AD165E">
        <w:rPr>
          <w:rFonts w:ascii="Avenir-Book" w:hAnsi="Avenir-Book" w:cs="Arial"/>
        </w:rPr>
        <w:t>Ingresos no tributarios</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La Iniciativa de Ley de Ingresos para 2019 presupuestó ingresos no tributari</w:t>
      </w:r>
      <w:r w:rsidR="005A53CC" w:rsidRPr="00AD165E">
        <w:rPr>
          <w:rFonts w:ascii="Avenir-Book" w:hAnsi="Avenir-Book" w:cs="Arial"/>
          <w:sz w:val="22"/>
          <w:szCs w:val="22"/>
        </w:rPr>
        <w:t xml:space="preserve">os del </w:t>
      </w:r>
      <w:r w:rsidRPr="00AD165E">
        <w:rPr>
          <w:rFonts w:ascii="Avenir-Book" w:hAnsi="Avenir-Book" w:cs="Arial"/>
          <w:sz w:val="22"/>
          <w:szCs w:val="22"/>
        </w:rPr>
        <w:t>gobierno federal por un monto de 120.3 mmp, lo que representa un monto menor al</w:t>
      </w:r>
      <w:r w:rsidR="00F910D9" w:rsidRPr="00AD165E">
        <w:rPr>
          <w:rFonts w:ascii="Avenir-Book" w:hAnsi="Avenir-Book" w:cs="Arial"/>
          <w:sz w:val="22"/>
          <w:szCs w:val="22"/>
        </w:rPr>
        <w:t xml:space="preserve"> </w:t>
      </w:r>
      <w:r w:rsidRPr="00AD165E">
        <w:rPr>
          <w:rFonts w:ascii="Avenir-Book" w:hAnsi="Avenir-Book" w:cs="Arial"/>
          <w:sz w:val="22"/>
          <w:szCs w:val="22"/>
        </w:rPr>
        <w:t>cierre previsto de 2018 de 53.3% en términos reales.</w:t>
      </w:r>
      <w:r w:rsidR="00F910D9" w:rsidRPr="00AD165E">
        <w:rPr>
          <w:rFonts w:ascii="Avenir-Book" w:hAnsi="Avenir-Book" w:cs="Arial"/>
          <w:sz w:val="22"/>
          <w:szCs w:val="22"/>
        </w:rPr>
        <w:t xml:space="preserve"> </w:t>
      </w:r>
      <w:r w:rsidRPr="00AD165E">
        <w:rPr>
          <w:rFonts w:ascii="Avenir-Book" w:hAnsi="Avenir-Book" w:cs="Arial"/>
          <w:sz w:val="22"/>
          <w:szCs w:val="22"/>
        </w:rPr>
        <w:t>Para 2019 no se</w:t>
      </w:r>
      <w:r w:rsidR="00F910D9" w:rsidRPr="00AD165E">
        <w:rPr>
          <w:rFonts w:ascii="Avenir-Book" w:hAnsi="Avenir-Book" w:cs="Arial"/>
          <w:sz w:val="22"/>
          <w:szCs w:val="22"/>
        </w:rPr>
        <w:t xml:space="preserve"> </w:t>
      </w:r>
      <w:r w:rsidRPr="00AD165E">
        <w:rPr>
          <w:rFonts w:ascii="Avenir-Book" w:hAnsi="Avenir-Book" w:cs="Arial"/>
          <w:sz w:val="22"/>
          <w:szCs w:val="22"/>
        </w:rPr>
        <w:t>consideraron fuentes importantes de ingresos no recurrentes.</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Política de gasto neto presupuestario</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El Proyecto de Presupuesto de</w:t>
      </w:r>
      <w:r w:rsidR="00F910D9" w:rsidRPr="00AD165E">
        <w:rPr>
          <w:rFonts w:ascii="Avenir-Book" w:hAnsi="Avenir-Book" w:cs="Arial"/>
          <w:sz w:val="22"/>
          <w:szCs w:val="22"/>
        </w:rPr>
        <w:t xml:space="preserve"> </w:t>
      </w:r>
      <w:r w:rsidRPr="00AD165E">
        <w:rPr>
          <w:rFonts w:ascii="Avenir-Book" w:hAnsi="Avenir-Book" w:cs="Arial"/>
          <w:sz w:val="22"/>
          <w:szCs w:val="22"/>
        </w:rPr>
        <w:t>Egresos (PPEF) para el ejercicio fiscal 2019 está orientado hacia la eficiencia y</w:t>
      </w:r>
      <w:r w:rsidR="00F910D9" w:rsidRPr="00AD165E">
        <w:rPr>
          <w:rFonts w:ascii="Avenir-Book" w:hAnsi="Avenir-Book" w:cs="Arial"/>
          <w:sz w:val="22"/>
          <w:szCs w:val="22"/>
        </w:rPr>
        <w:t xml:space="preserve"> </w:t>
      </w:r>
      <w:r w:rsidRPr="00AD165E">
        <w:rPr>
          <w:rFonts w:ascii="Avenir-Book" w:hAnsi="Avenir-Book" w:cs="Arial"/>
          <w:sz w:val="22"/>
          <w:szCs w:val="22"/>
        </w:rPr>
        <w:t>transparencia del uso de los recursos públicos para promover el desarrollo y la</w:t>
      </w:r>
      <w:r w:rsidR="00F910D9" w:rsidRPr="00AD165E">
        <w:rPr>
          <w:rFonts w:ascii="Avenir-Book" w:hAnsi="Avenir-Book" w:cs="Arial"/>
          <w:sz w:val="22"/>
          <w:szCs w:val="22"/>
        </w:rPr>
        <w:t xml:space="preserve"> </w:t>
      </w:r>
      <w:r w:rsidRPr="00AD165E">
        <w:rPr>
          <w:rFonts w:ascii="Avenir-Book" w:hAnsi="Avenir-Book" w:cs="Arial"/>
          <w:sz w:val="22"/>
          <w:szCs w:val="22"/>
        </w:rPr>
        <w:t>productividad, dentro de un marco de rendición de cuentas, en donde se fortalezca la</w:t>
      </w:r>
      <w:r w:rsidR="00F910D9" w:rsidRPr="00AD165E">
        <w:rPr>
          <w:rFonts w:ascii="Avenir-Book" w:hAnsi="Avenir-Book" w:cs="Arial"/>
          <w:sz w:val="22"/>
          <w:szCs w:val="22"/>
        </w:rPr>
        <w:t xml:space="preserve"> </w:t>
      </w:r>
      <w:r w:rsidRPr="00AD165E">
        <w:rPr>
          <w:rFonts w:ascii="Avenir-Book" w:hAnsi="Avenir-Book" w:cs="Arial"/>
          <w:sz w:val="22"/>
          <w:szCs w:val="22"/>
        </w:rPr>
        <w:t>estabilidad macroeconómica y se mantengan las finanzas públicas sanas de la nación.</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recursos destinados a los nuevos</w:t>
      </w:r>
      <w:r w:rsidR="00F910D9" w:rsidRPr="00AD165E">
        <w:rPr>
          <w:rFonts w:ascii="Avenir-Book" w:hAnsi="Avenir-Book" w:cs="Arial"/>
          <w:sz w:val="22"/>
          <w:szCs w:val="22"/>
        </w:rPr>
        <w:t xml:space="preserve"> </w:t>
      </w:r>
      <w:r w:rsidRPr="00AD165E">
        <w:rPr>
          <w:rFonts w:ascii="Avenir-Book" w:hAnsi="Avenir-Book" w:cs="Arial"/>
          <w:sz w:val="22"/>
          <w:szCs w:val="22"/>
        </w:rPr>
        <w:t>proyectos y programas se obtienen a través de tres acciones fundamentales: la</w:t>
      </w:r>
      <w:r w:rsidR="00F910D9" w:rsidRPr="00AD165E">
        <w:rPr>
          <w:rFonts w:ascii="Avenir-Book" w:hAnsi="Avenir-Book" w:cs="Arial"/>
          <w:sz w:val="22"/>
          <w:szCs w:val="22"/>
        </w:rPr>
        <w:t xml:space="preserve"> </w:t>
      </w:r>
      <w:r w:rsidRPr="00AD165E">
        <w:rPr>
          <w:rFonts w:ascii="Avenir-Book" w:hAnsi="Avenir-Book" w:cs="Arial"/>
          <w:sz w:val="22"/>
          <w:szCs w:val="22"/>
        </w:rPr>
        <w:t>eliminación de gastos innecesarios, la reorientación de los recursos públicos hacia</w:t>
      </w:r>
      <w:r w:rsidR="00F910D9" w:rsidRPr="00AD165E">
        <w:rPr>
          <w:rFonts w:ascii="Avenir-Book" w:hAnsi="Avenir-Book" w:cs="Arial"/>
          <w:sz w:val="22"/>
          <w:szCs w:val="22"/>
        </w:rPr>
        <w:t xml:space="preserve"> </w:t>
      </w:r>
      <w:r w:rsidRPr="00AD165E">
        <w:rPr>
          <w:rFonts w:ascii="Avenir-Book" w:hAnsi="Avenir-Book" w:cs="Arial"/>
          <w:sz w:val="22"/>
          <w:szCs w:val="22"/>
        </w:rPr>
        <w:t>programas y proyectos con reglas claras de asignación, y la eliminación, fusión o</w:t>
      </w:r>
      <w:r w:rsidR="00F910D9" w:rsidRPr="00AD165E">
        <w:rPr>
          <w:rFonts w:ascii="Avenir-Book" w:hAnsi="Avenir-Book" w:cs="Arial"/>
          <w:sz w:val="22"/>
          <w:szCs w:val="22"/>
        </w:rPr>
        <w:t xml:space="preserve"> </w:t>
      </w:r>
      <w:r w:rsidRPr="00AD165E">
        <w:rPr>
          <w:rFonts w:ascii="Avenir-Book" w:hAnsi="Avenir-Book" w:cs="Arial"/>
          <w:sz w:val="22"/>
          <w:szCs w:val="22"/>
        </w:rPr>
        <w:t>reducción de programas que se consideren duplicados o que ya no cumplen con su</w:t>
      </w:r>
      <w:r w:rsidR="00F910D9" w:rsidRPr="00AD165E">
        <w:rPr>
          <w:rFonts w:ascii="Avenir-Book" w:hAnsi="Avenir-Book" w:cs="Arial"/>
          <w:sz w:val="22"/>
          <w:szCs w:val="22"/>
        </w:rPr>
        <w:t xml:space="preserve"> </w:t>
      </w:r>
      <w:r w:rsidRPr="00AD165E">
        <w:rPr>
          <w:rFonts w:ascii="Avenir-Book" w:hAnsi="Avenir-Book" w:cs="Arial"/>
          <w:sz w:val="22"/>
          <w:szCs w:val="22"/>
        </w:rPr>
        <w:t>propósito. Con la eliminación de programas y recursos públicos con poco impacto</w:t>
      </w:r>
      <w:r w:rsidR="00F910D9" w:rsidRPr="00AD165E">
        <w:rPr>
          <w:rFonts w:ascii="Avenir-Book" w:hAnsi="Avenir-Book" w:cs="Arial"/>
          <w:sz w:val="22"/>
          <w:szCs w:val="22"/>
        </w:rPr>
        <w:t xml:space="preserve"> </w:t>
      </w:r>
      <w:r w:rsidRPr="00AD165E">
        <w:rPr>
          <w:rFonts w:ascii="Avenir-Book" w:hAnsi="Avenir-Book" w:cs="Arial"/>
          <w:sz w:val="22"/>
          <w:szCs w:val="22"/>
        </w:rPr>
        <w:t>social y productivo se contribuirá a financiar un mayor gasto en infraestructura y en</w:t>
      </w:r>
      <w:r w:rsidR="00F910D9" w:rsidRPr="00AD165E">
        <w:rPr>
          <w:rFonts w:ascii="Avenir-Book" w:hAnsi="Avenir-Book" w:cs="Arial"/>
          <w:sz w:val="22"/>
          <w:szCs w:val="22"/>
        </w:rPr>
        <w:t xml:space="preserve"> </w:t>
      </w:r>
      <w:r w:rsidRPr="00AD165E">
        <w:rPr>
          <w:rFonts w:ascii="Avenir-Book" w:hAnsi="Avenir-Book" w:cs="Arial"/>
          <w:sz w:val="22"/>
          <w:szCs w:val="22"/>
        </w:rPr>
        <w:t>programas sociales prioritarios. De esta manera se prevé incrementar la eficiencia en la</w:t>
      </w:r>
      <w:r w:rsidR="00F910D9" w:rsidRPr="00AD165E">
        <w:rPr>
          <w:rFonts w:ascii="Avenir-Book" w:hAnsi="Avenir-Book" w:cs="Arial"/>
          <w:sz w:val="22"/>
          <w:szCs w:val="22"/>
        </w:rPr>
        <w:t xml:space="preserve"> </w:t>
      </w:r>
      <w:r w:rsidRPr="00AD165E">
        <w:rPr>
          <w:rFonts w:ascii="Avenir-Book" w:hAnsi="Avenir-Book" w:cs="Arial"/>
          <w:sz w:val="22"/>
          <w:szCs w:val="22"/>
        </w:rPr>
        <w:t>asignación del presupuesto hacia rubros de alto impacto que impulsan el desarrollo</w:t>
      </w:r>
      <w:r w:rsidR="00F910D9" w:rsidRPr="00AD165E">
        <w:rPr>
          <w:rFonts w:ascii="Avenir-Book" w:hAnsi="Avenir-Book" w:cs="Arial"/>
          <w:sz w:val="22"/>
          <w:szCs w:val="22"/>
        </w:rPr>
        <w:t xml:space="preserve"> </w:t>
      </w:r>
      <w:r w:rsidRPr="00AD165E">
        <w:rPr>
          <w:rFonts w:ascii="Avenir-Book" w:hAnsi="Avenir-Book" w:cs="Arial"/>
          <w:sz w:val="22"/>
          <w:szCs w:val="22"/>
        </w:rPr>
        <w:t>económico del país, sin comprometer la disciplina de las finanzas públicas.</w:t>
      </w:r>
    </w:p>
    <w:p w:rsidR="000E67BC" w:rsidRPr="00AD165E" w:rsidRDefault="00AA3091" w:rsidP="000E67BC">
      <w:pPr>
        <w:autoSpaceDE w:val="0"/>
        <w:autoSpaceDN w:val="0"/>
        <w:adjustRightInd w:val="0"/>
        <w:jc w:val="both"/>
        <w:rPr>
          <w:rFonts w:ascii="Avenir-Book" w:hAnsi="Avenir-Book" w:cs="Arial"/>
          <w:sz w:val="22"/>
          <w:szCs w:val="22"/>
        </w:rPr>
      </w:pPr>
      <w:r w:rsidRPr="00AD165E">
        <w:rPr>
          <w:rFonts w:ascii="Avenir-Book" w:hAnsi="Avenir-Book"/>
          <w:noProof/>
          <w:sz w:val="22"/>
          <w:szCs w:val="22"/>
          <w:lang w:val="es-MX" w:eastAsia="es-MX"/>
        </w:rPr>
        <w:drawing>
          <wp:anchor distT="0" distB="0" distL="114300" distR="114300" simplePos="0" relativeHeight="251661312" behindDoc="1" locked="0" layoutInCell="1" allowOverlap="1">
            <wp:simplePos x="0" y="0"/>
            <wp:positionH relativeFrom="column">
              <wp:posOffset>934720</wp:posOffset>
            </wp:positionH>
            <wp:positionV relativeFrom="paragraph">
              <wp:posOffset>128905</wp:posOffset>
            </wp:positionV>
            <wp:extent cx="3286125" cy="3146425"/>
            <wp:effectExtent l="0" t="0" r="9525" b="0"/>
            <wp:wrapTight wrapText="bothSides">
              <wp:wrapPolygon edited="0">
                <wp:start x="0" y="0"/>
                <wp:lineTo x="0" y="21447"/>
                <wp:lineTo x="21537" y="21447"/>
                <wp:lineTo x="2153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9669" t="25721" r="33852" b="12163"/>
                    <a:stretch/>
                  </pic:blipFill>
                  <pic:spPr bwMode="auto">
                    <a:xfrm>
                      <a:off x="0" y="0"/>
                      <a:ext cx="3286125" cy="3146425"/>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885D2A" w:rsidRPr="00AD165E" w:rsidRDefault="00885D2A"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Para fortalecer las haciendas locales, se prevé transferir a los estados y municipios1,897.7 </w:t>
      </w:r>
      <w:r w:rsidR="009A7A51" w:rsidRPr="00AD165E">
        <w:rPr>
          <w:rFonts w:ascii="Avenir-Book" w:hAnsi="Avenir-Book" w:cs="Arial"/>
          <w:sz w:val="22"/>
          <w:szCs w:val="22"/>
        </w:rPr>
        <w:t>MMP</w:t>
      </w:r>
      <w:r w:rsidRPr="00AD165E">
        <w:rPr>
          <w:rFonts w:ascii="Avenir-Book" w:hAnsi="Avenir-Book" w:cs="Arial"/>
          <w:sz w:val="22"/>
          <w:szCs w:val="22"/>
        </w:rPr>
        <w:t>, monto superior en 2.1% en términos reales al monto aprobado en 2018.Del total de recursos para los gobiernos locales, el 48.2% corresponde al pago de</w:t>
      </w:r>
      <w:r w:rsidR="00F910D9" w:rsidRPr="00AD165E">
        <w:rPr>
          <w:rFonts w:ascii="Avenir-Book" w:hAnsi="Avenir-Book" w:cs="Arial"/>
          <w:sz w:val="22"/>
          <w:szCs w:val="22"/>
        </w:rPr>
        <w:t xml:space="preserve"> </w:t>
      </w:r>
      <w:r w:rsidRPr="00AD165E">
        <w:rPr>
          <w:rFonts w:ascii="Avenir-Book" w:hAnsi="Avenir-Book" w:cs="Arial"/>
          <w:sz w:val="22"/>
          <w:szCs w:val="22"/>
        </w:rPr>
        <w:t>participaciones; el 41.5%, a las aportaciones federales que se canalizan a destinos</w:t>
      </w:r>
      <w:r w:rsidR="00F910D9" w:rsidRPr="00AD165E">
        <w:rPr>
          <w:rFonts w:ascii="Avenir-Book" w:hAnsi="Avenir-Book" w:cs="Arial"/>
          <w:sz w:val="22"/>
          <w:szCs w:val="22"/>
        </w:rPr>
        <w:t xml:space="preserve"> </w:t>
      </w:r>
      <w:r w:rsidRPr="00AD165E">
        <w:rPr>
          <w:rFonts w:ascii="Avenir-Book" w:hAnsi="Avenir-Book" w:cs="Arial"/>
          <w:sz w:val="22"/>
          <w:szCs w:val="22"/>
        </w:rPr>
        <w:t>específicos como educación, salud, infraestructura social y seguridad pública, y el</w:t>
      </w:r>
      <w:r w:rsidR="00F910D9" w:rsidRPr="00AD165E">
        <w:rPr>
          <w:rFonts w:ascii="Avenir-Book" w:hAnsi="Avenir-Book" w:cs="Arial"/>
          <w:sz w:val="22"/>
          <w:szCs w:val="22"/>
        </w:rPr>
        <w:t xml:space="preserve"> </w:t>
      </w:r>
      <w:r w:rsidRPr="00AD165E">
        <w:rPr>
          <w:rFonts w:ascii="Avenir-Book" w:hAnsi="Avenir-Book" w:cs="Arial"/>
          <w:sz w:val="22"/>
          <w:szCs w:val="22"/>
        </w:rPr>
        <w:t>restante 10.3%, a otros conceptos en los que se encuentran las asignaciones para</w:t>
      </w:r>
      <w:r w:rsidR="00F910D9" w:rsidRPr="00AD165E">
        <w:rPr>
          <w:rFonts w:ascii="Avenir-Book" w:hAnsi="Avenir-Book" w:cs="Arial"/>
          <w:sz w:val="22"/>
          <w:szCs w:val="22"/>
        </w:rPr>
        <w:t xml:space="preserve"> </w:t>
      </w:r>
      <w:r w:rsidRPr="00AD165E">
        <w:rPr>
          <w:rFonts w:ascii="Avenir-Book" w:hAnsi="Avenir-Book" w:cs="Arial"/>
          <w:sz w:val="22"/>
          <w:szCs w:val="22"/>
        </w:rPr>
        <w:t>convenios de coordinación, subsidios y otros gastos.</w:t>
      </w:r>
    </w:p>
    <w:p w:rsidR="00AF527F" w:rsidRPr="00AD165E" w:rsidRDefault="00AF527F"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7F6463" w:rsidP="000E67BC">
      <w:pPr>
        <w:autoSpaceDE w:val="0"/>
        <w:autoSpaceDN w:val="0"/>
        <w:adjustRightInd w:val="0"/>
        <w:jc w:val="both"/>
        <w:rPr>
          <w:rFonts w:ascii="Avenir-Book" w:hAnsi="Avenir-Book" w:cs="Arial"/>
          <w:sz w:val="22"/>
          <w:szCs w:val="22"/>
        </w:rPr>
      </w:pPr>
      <w:r>
        <w:rPr>
          <w:rFonts w:ascii="Avenir-Book" w:hAnsi="Avenir-Book" w:cs="Arial"/>
          <w:noProof/>
          <w:sz w:val="22"/>
          <w:szCs w:val="22"/>
          <w:lang w:val="es-MX" w:eastAsia="es-MX"/>
        </w:rPr>
        <w:drawing>
          <wp:anchor distT="0" distB="0" distL="114300" distR="114300" simplePos="0" relativeHeight="251663360" behindDoc="1" locked="0" layoutInCell="1" allowOverlap="1">
            <wp:simplePos x="0" y="0"/>
            <wp:positionH relativeFrom="column">
              <wp:posOffset>273050</wp:posOffset>
            </wp:positionH>
            <wp:positionV relativeFrom="paragraph">
              <wp:posOffset>73025</wp:posOffset>
            </wp:positionV>
            <wp:extent cx="4219575" cy="2047875"/>
            <wp:effectExtent l="19050" t="0" r="9525" b="0"/>
            <wp:wrapTight wrapText="bothSides">
              <wp:wrapPolygon edited="0">
                <wp:start x="-98" y="0"/>
                <wp:lineTo x="-98" y="21500"/>
                <wp:lineTo x="21649" y="21500"/>
                <wp:lineTo x="21649" y="0"/>
                <wp:lineTo x="-98"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3116" t="29826" r="26179" b="26315"/>
                    <a:stretch/>
                  </pic:blipFill>
                  <pic:spPr bwMode="auto">
                    <a:xfrm>
                      <a:off x="0" y="0"/>
                      <a:ext cx="4219575" cy="2047875"/>
                    </a:xfrm>
                    <a:prstGeom prst="rect">
                      <a:avLst/>
                    </a:prstGeom>
                    <a:ln>
                      <a:noFill/>
                    </a:ln>
                    <a:extLst>
                      <a:ext uri="{53640926-AAD7-44D8-BBD7-CCE9431645EC}">
                        <a14:shadowObscured xmlns:a14="http://schemas.microsoft.com/office/drawing/2010/main"/>
                      </a:ext>
                    </a:extLst>
                  </pic:spPr>
                </pic:pic>
              </a:graphicData>
            </a:graphic>
          </wp:anchor>
        </w:drawing>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p>
    <w:p w:rsidR="00885D2A" w:rsidRPr="00AD165E" w:rsidRDefault="00885D2A" w:rsidP="000E67BC">
      <w:pPr>
        <w:spacing w:after="100" w:afterAutospacing="1"/>
        <w:ind w:right="-93"/>
        <w:jc w:val="both"/>
        <w:rPr>
          <w:rFonts w:ascii="Avenir-Book" w:hAnsi="Avenir-Book" w:cs="Arial"/>
          <w:b/>
          <w:sz w:val="22"/>
          <w:szCs w:val="22"/>
        </w:rPr>
      </w:pPr>
    </w:p>
    <w:p w:rsidR="007F6463" w:rsidRDefault="007F6463" w:rsidP="000E67BC">
      <w:pPr>
        <w:spacing w:after="100" w:afterAutospacing="1"/>
        <w:ind w:right="-93"/>
        <w:jc w:val="both"/>
        <w:rPr>
          <w:rFonts w:ascii="Avenir-Book" w:hAnsi="Avenir-Book" w:cs="Arial"/>
          <w:b/>
          <w:sz w:val="22"/>
          <w:szCs w:val="22"/>
        </w:rPr>
      </w:pPr>
    </w:p>
    <w:p w:rsidR="007F6463" w:rsidRDefault="007F6463" w:rsidP="000E67BC">
      <w:pPr>
        <w:spacing w:after="100" w:afterAutospacing="1"/>
        <w:ind w:right="-93"/>
        <w:jc w:val="both"/>
        <w:rPr>
          <w:rFonts w:ascii="Avenir-Book" w:hAnsi="Avenir-Book" w:cs="Arial"/>
          <w:b/>
          <w:sz w:val="22"/>
          <w:szCs w:val="22"/>
        </w:rPr>
      </w:pPr>
    </w:p>
    <w:p w:rsidR="007F6463" w:rsidRDefault="007F6463" w:rsidP="000E67BC">
      <w:pPr>
        <w:spacing w:after="100" w:afterAutospacing="1"/>
        <w:ind w:right="-93"/>
        <w:jc w:val="both"/>
        <w:rPr>
          <w:rFonts w:ascii="Avenir-Book" w:hAnsi="Avenir-Book" w:cs="Arial"/>
          <w:b/>
          <w:sz w:val="22"/>
          <w:szCs w:val="22"/>
        </w:rPr>
      </w:pPr>
    </w:p>
    <w:p w:rsidR="000E67BC" w:rsidRPr="00AD165E" w:rsidRDefault="000E67BC" w:rsidP="000E67BC">
      <w:pPr>
        <w:spacing w:after="100" w:afterAutospacing="1"/>
        <w:ind w:right="-93"/>
        <w:jc w:val="both"/>
        <w:rPr>
          <w:rFonts w:ascii="Avenir-Book" w:hAnsi="Avenir-Book" w:cs="Arial"/>
          <w:b/>
          <w:sz w:val="22"/>
          <w:szCs w:val="22"/>
        </w:rPr>
      </w:pPr>
      <w:r w:rsidRPr="00AD165E">
        <w:rPr>
          <w:rFonts w:ascii="Avenir-Book" w:hAnsi="Avenir-Book" w:cs="Arial"/>
          <w:b/>
          <w:sz w:val="22"/>
          <w:szCs w:val="22"/>
        </w:rPr>
        <w:t>Política de deuda pública para 2019</w:t>
      </w: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La política de deuda para 2019 tendrá como objetivo mantener un portafolio de pasivos</w:t>
      </w:r>
      <w:r w:rsidR="00F910D9" w:rsidRPr="00AD165E">
        <w:rPr>
          <w:rFonts w:ascii="Avenir-Book" w:hAnsi="Avenir-Book" w:cs="Arial"/>
          <w:sz w:val="22"/>
          <w:szCs w:val="22"/>
        </w:rPr>
        <w:t xml:space="preserve"> </w:t>
      </w:r>
      <w:r w:rsidRPr="00AD165E">
        <w:rPr>
          <w:rFonts w:ascii="Avenir-Book" w:hAnsi="Avenir-Book" w:cs="Arial"/>
          <w:sz w:val="22"/>
          <w:szCs w:val="22"/>
        </w:rPr>
        <w:t>sólido, mediante la emisión de instrumentos en moneda nacional, a</w:t>
      </w:r>
      <w:r w:rsidR="00F910D9" w:rsidRPr="00AD165E">
        <w:rPr>
          <w:rFonts w:ascii="Avenir-Book" w:hAnsi="Avenir-Book" w:cs="Arial"/>
          <w:sz w:val="22"/>
          <w:szCs w:val="22"/>
        </w:rPr>
        <w:t xml:space="preserve"> </w:t>
      </w:r>
      <w:r w:rsidRPr="00AD165E">
        <w:rPr>
          <w:rFonts w:ascii="Avenir-Book" w:hAnsi="Avenir-Book" w:cs="Arial"/>
          <w:sz w:val="22"/>
          <w:szCs w:val="22"/>
        </w:rPr>
        <w:t>tasa fija y con vencimiento de largo plazo. Lo anterior permitirá disminuir el impacto de</w:t>
      </w:r>
      <w:r w:rsidR="00F910D9" w:rsidRPr="00AD165E">
        <w:rPr>
          <w:rFonts w:ascii="Avenir-Book" w:hAnsi="Avenir-Book" w:cs="Arial"/>
          <w:sz w:val="22"/>
          <w:szCs w:val="22"/>
        </w:rPr>
        <w:t xml:space="preserve"> </w:t>
      </w:r>
      <w:r w:rsidRPr="00AD165E">
        <w:rPr>
          <w:rFonts w:ascii="Avenir-Book" w:hAnsi="Avenir-Book" w:cs="Arial"/>
          <w:sz w:val="22"/>
          <w:szCs w:val="22"/>
        </w:rPr>
        <w:t>los choques externos sobre las finanzas públicas con el fin de que episodios de</w:t>
      </w:r>
      <w:r w:rsidR="00F910D9" w:rsidRPr="00AD165E">
        <w:rPr>
          <w:rFonts w:ascii="Avenir-Book" w:hAnsi="Avenir-Book" w:cs="Arial"/>
          <w:sz w:val="22"/>
          <w:szCs w:val="22"/>
        </w:rPr>
        <w:t xml:space="preserve"> </w:t>
      </w:r>
      <w:r w:rsidRPr="00AD165E">
        <w:rPr>
          <w:rFonts w:ascii="Avenir-Book" w:hAnsi="Avenir-Book" w:cs="Arial"/>
          <w:sz w:val="22"/>
          <w:szCs w:val="22"/>
        </w:rPr>
        <w:t>volatilidad en los mercados financieros tengan un efecto acotado sobre el costo</w:t>
      </w:r>
      <w:r w:rsidR="00F910D9" w:rsidRPr="00AD165E">
        <w:rPr>
          <w:rFonts w:ascii="Avenir-Book" w:hAnsi="Avenir-Book" w:cs="Arial"/>
          <w:sz w:val="22"/>
          <w:szCs w:val="22"/>
        </w:rPr>
        <w:t xml:space="preserve"> </w:t>
      </w:r>
      <w:r w:rsidRPr="00AD165E">
        <w:rPr>
          <w:rFonts w:ascii="Avenir-Book" w:hAnsi="Avenir-Book" w:cs="Arial"/>
          <w:sz w:val="22"/>
          <w:szCs w:val="22"/>
        </w:rPr>
        <w:t>financiero de la deuda.</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La política de deuda pública para 2019 mantendrá flexibilidad</w:t>
      </w:r>
      <w:r w:rsidR="00F910D9" w:rsidRPr="00AD165E">
        <w:rPr>
          <w:rFonts w:ascii="Avenir-Book" w:hAnsi="Avenir-Book" w:cs="Arial"/>
          <w:sz w:val="22"/>
          <w:szCs w:val="22"/>
        </w:rPr>
        <w:t xml:space="preserve"> </w:t>
      </w:r>
      <w:r w:rsidRPr="00AD165E">
        <w:rPr>
          <w:rFonts w:ascii="Avenir-Book" w:hAnsi="Avenir-Book" w:cs="Arial"/>
          <w:sz w:val="22"/>
          <w:szCs w:val="22"/>
        </w:rPr>
        <w:t>para adaptarse a la evolución de los mercados con el fin de obtener condiciones de plazo y costo competitivos y hacer frente a los riesgos en el entorno internacional. Se</w:t>
      </w:r>
      <w:r w:rsidR="00F910D9" w:rsidRPr="00AD165E">
        <w:rPr>
          <w:rFonts w:ascii="Avenir-Book" w:hAnsi="Avenir-Book" w:cs="Arial"/>
          <w:sz w:val="22"/>
          <w:szCs w:val="22"/>
        </w:rPr>
        <w:t xml:space="preserve"> </w:t>
      </w:r>
      <w:r w:rsidRPr="00AD165E">
        <w:rPr>
          <w:rFonts w:ascii="Avenir-Book" w:hAnsi="Avenir-Book" w:cs="Arial"/>
          <w:sz w:val="22"/>
          <w:szCs w:val="22"/>
        </w:rPr>
        <w:t>recurrirá principalmente al mercado local de deuda, utilizando el crédito externo como</w:t>
      </w:r>
      <w:r w:rsidR="00F910D9" w:rsidRPr="00AD165E">
        <w:rPr>
          <w:rFonts w:ascii="Avenir-Book" w:hAnsi="Avenir-Book" w:cs="Arial"/>
          <w:sz w:val="22"/>
          <w:szCs w:val="22"/>
        </w:rPr>
        <w:t xml:space="preserve"> </w:t>
      </w:r>
      <w:r w:rsidRPr="00AD165E">
        <w:rPr>
          <w:rFonts w:ascii="Avenir-Book" w:hAnsi="Avenir-Book" w:cs="Arial"/>
          <w:sz w:val="22"/>
          <w:szCs w:val="22"/>
        </w:rPr>
        <w:t>fuente complementaria cuando se encuentren condiciones favorables en los mercados</w:t>
      </w:r>
      <w:r w:rsidR="00F910D9" w:rsidRPr="00AD165E">
        <w:rPr>
          <w:rFonts w:ascii="Avenir-Book" w:hAnsi="Avenir-Book" w:cs="Arial"/>
          <w:sz w:val="22"/>
          <w:szCs w:val="22"/>
        </w:rPr>
        <w:t xml:space="preserve"> </w:t>
      </w:r>
      <w:r w:rsidRPr="00AD165E">
        <w:rPr>
          <w:rFonts w:ascii="Avenir-Book" w:hAnsi="Avenir-Book" w:cs="Arial"/>
          <w:sz w:val="22"/>
          <w:szCs w:val="22"/>
        </w:rPr>
        <w:t>internacionales.</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En la iniciativa de la Ley de Ingresos que se sometió a consideración del Honorable Congreso de la Unión se sol</w:t>
      </w:r>
      <w:r w:rsidR="00F910D9" w:rsidRPr="00AD165E">
        <w:rPr>
          <w:rFonts w:ascii="Avenir-Book" w:hAnsi="Avenir-Book" w:cs="Arial"/>
          <w:sz w:val="22"/>
          <w:szCs w:val="22"/>
        </w:rPr>
        <w:t>icita un monto de endeudamiento i</w:t>
      </w:r>
      <w:r w:rsidRPr="00AD165E">
        <w:rPr>
          <w:rFonts w:ascii="Avenir-Book" w:hAnsi="Avenir-Book" w:cs="Arial"/>
          <w:sz w:val="22"/>
          <w:szCs w:val="22"/>
        </w:rPr>
        <w:t>nterno neto del Gobierno Federal hasta por 490.0 mmp. En cuanto al endeudamiento</w:t>
      </w:r>
      <w:r w:rsidR="00533ECB" w:rsidRPr="00AD165E">
        <w:rPr>
          <w:rFonts w:ascii="Avenir-Book" w:hAnsi="Avenir-Book" w:cs="Arial"/>
          <w:sz w:val="22"/>
          <w:szCs w:val="22"/>
        </w:rPr>
        <w:t xml:space="preserve"> </w:t>
      </w:r>
      <w:r w:rsidRPr="00AD165E">
        <w:rPr>
          <w:rFonts w:ascii="Avenir-Book" w:hAnsi="Avenir-Book" w:cs="Arial"/>
          <w:sz w:val="22"/>
          <w:szCs w:val="22"/>
        </w:rPr>
        <w:t>externo neto del sector público, que incluye al Gobierno Federal y a la banca de</w:t>
      </w:r>
      <w:r w:rsidR="00533ECB" w:rsidRPr="00AD165E">
        <w:rPr>
          <w:rFonts w:ascii="Avenir-Book" w:hAnsi="Avenir-Book" w:cs="Arial"/>
          <w:sz w:val="22"/>
          <w:szCs w:val="22"/>
        </w:rPr>
        <w:t xml:space="preserve"> </w:t>
      </w:r>
      <w:r w:rsidRPr="00AD165E">
        <w:rPr>
          <w:rFonts w:ascii="Avenir-Book" w:hAnsi="Avenir-Book" w:cs="Arial"/>
          <w:sz w:val="22"/>
          <w:szCs w:val="22"/>
        </w:rPr>
        <w:t>desarrollo, se solicita un techo de endeudamiento neto de 5.4 mil millones de dólares.</w:t>
      </w:r>
      <w:r w:rsidR="00533ECB" w:rsidRPr="00AD165E">
        <w:rPr>
          <w:rFonts w:ascii="Avenir-Book" w:hAnsi="Avenir-Book" w:cs="Arial"/>
          <w:sz w:val="22"/>
          <w:szCs w:val="22"/>
        </w:rPr>
        <w:t xml:space="preserve"> </w:t>
      </w:r>
      <w:r w:rsidRPr="00AD165E">
        <w:rPr>
          <w:rFonts w:ascii="Avenir-Book" w:hAnsi="Avenir-Book" w:cs="Arial"/>
          <w:sz w:val="22"/>
          <w:szCs w:val="22"/>
        </w:rPr>
        <w:t>Esta cifra es menor en 100 millones de dólares a lo aprobado para 2018.</w:t>
      </w:r>
    </w:p>
    <w:p w:rsidR="0093206D" w:rsidRPr="00AD165E" w:rsidRDefault="0093206D"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techos de endeudamiento neto que solicitan las empresas productivas del Estado son: Pemex y sus empresas productivas subsidiarias solicitan un techo de endeudamiento interno neto para 2019 por 4.3 mmp y un techo de endeudamiento externo neto de 5.4 mil millones de dólares. Por su parte, la CFE y sus empresas productivas subsidiarias solicitan para 2019 un techo de endeudamiento interno neto de 9.8 mmp y un techo de endeudamiento externo neto de 497.5 millones de dólares.</w:t>
      </w:r>
    </w:p>
    <w:p w:rsidR="000E67BC" w:rsidRPr="00AD165E" w:rsidRDefault="000E67BC" w:rsidP="000E67BC">
      <w:pPr>
        <w:autoSpaceDE w:val="0"/>
        <w:autoSpaceDN w:val="0"/>
        <w:adjustRightInd w:val="0"/>
        <w:jc w:val="both"/>
        <w:rPr>
          <w:rFonts w:ascii="Avenir-Book" w:hAnsi="Avenir-Book" w:cs="Arial"/>
          <w:b/>
          <w:sz w:val="22"/>
          <w:szCs w:val="22"/>
        </w:rPr>
      </w:pPr>
      <w:r w:rsidRPr="00AD165E">
        <w:rPr>
          <w:rFonts w:ascii="Avenir-Book" w:hAnsi="Avenir-Book" w:cs="Arial"/>
          <w:b/>
          <w:sz w:val="22"/>
          <w:szCs w:val="22"/>
        </w:rPr>
        <w:t>Política de deuda interna</w:t>
      </w:r>
    </w:p>
    <w:p w:rsidR="000E67BC" w:rsidRPr="00AD165E" w:rsidRDefault="000E67BC" w:rsidP="000E67BC">
      <w:pPr>
        <w:autoSpaceDE w:val="0"/>
        <w:autoSpaceDN w:val="0"/>
        <w:adjustRightInd w:val="0"/>
        <w:jc w:val="both"/>
        <w:rPr>
          <w:rFonts w:ascii="Avenir-Book" w:hAnsi="Avenir-Book" w:cs="Arial"/>
          <w:b/>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2019 la estrategia de endeudamiento interno estará dirigida a satisfacer la mayor parte de las necesidades de financiamiento del Gobierno Federal a través de la colocación de valores gubernamentales en el mercado local. La mayor parte de la captación neta de recursos se realizará, conforme a las condiciones del mercado, favoreciendo instrumentos de largo plazo a tasa fija tanto nominal como real.</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principales objetivos de la estrategia de endeudamiento interno son:</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pStyle w:val="Prrafodelista"/>
        <w:numPr>
          <w:ilvl w:val="0"/>
          <w:numId w:val="20"/>
        </w:numPr>
        <w:autoSpaceDE w:val="0"/>
        <w:autoSpaceDN w:val="0"/>
        <w:adjustRightInd w:val="0"/>
        <w:spacing w:after="0" w:line="240" w:lineRule="auto"/>
        <w:jc w:val="both"/>
        <w:rPr>
          <w:rFonts w:ascii="Avenir-Book" w:hAnsi="Avenir-Book" w:cs="Arial"/>
        </w:rPr>
      </w:pPr>
      <w:r w:rsidRPr="00AD165E">
        <w:rPr>
          <w:rFonts w:ascii="Avenir-Book" w:hAnsi="Avenir-Book" w:cs="Arial"/>
        </w:rPr>
        <w:t>Obtener el financiamiento requerido promoviendo la eficiencia y el buen funcionamiento de los mercados locales.</w:t>
      </w:r>
    </w:p>
    <w:p w:rsidR="000E67BC" w:rsidRPr="00AD165E" w:rsidRDefault="000E67BC" w:rsidP="000E67BC">
      <w:pPr>
        <w:pStyle w:val="Prrafodelista"/>
        <w:numPr>
          <w:ilvl w:val="0"/>
          <w:numId w:val="20"/>
        </w:numPr>
        <w:autoSpaceDE w:val="0"/>
        <w:autoSpaceDN w:val="0"/>
        <w:adjustRightInd w:val="0"/>
        <w:spacing w:after="0" w:line="240" w:lineRule="auto"/>
        <w:jc w:val="both"/>
        <w:rPr>
          <w:rFonts w:ascii="Avenir-Book" w:hAnsi="Avenir-Book" w:cs="Arial"/>
        </w:rPr>
      </w:pPr>
      <w:r w:rsidRPr="00AD165E">
        <w:rPr>
          <w:rFonts w:ascii="Avenir-Book" w:hAnsi="Avenir-Book" w:cs="Arial"/>
        </w:rPr>
        <w:t>Fortalecer la liquidez y la eficiencia en la operación y el proceso de formación de precios de los instrumentos del Gobierno Federal en sus distintos plazos.</w:t>
      </w:r>
    </w:p>
    <w:p w:rsidR="000E67BC" w:rsidRPr="00AD165E" w:rsidRDefault="000E67BC" w:rsidP="000E67BC">
      <w:pPr>
        <w:pStyle w:val="Prrafodelista"/>
        <w:numPr>
          <w:ilvl w:val="0"/>
          <w:numId w:val="20"/>
        </w:numPr>
        <w:autoSpaceDE w:val="0"/>
        <w:autoSpaceDN w:val="0"/>
        <w:adjustRightInd w:val="0"/>
        <w:spacing w:after="0" w:line="240" w:lineRule="auto"/>
        <w:jc w:val="both"/>
        <w:rPr>
          <w:rFonts w:ascii="Avenir-Book" w:hAnsi="Avenir-Book" w:cs="Arial"/>
        </w:rPr>
      </w:pPr>
      <w:r w:rsidRPr="00AD165E">
        <w:rPr>
          <w:rFonts w:ascii="Avenir-Book" w:hAnsi="Avenir-Book" w:cs="Arial"/>
        </w:rPr>
        <w:t>Fortalecer el desarrollo del mercado de instrumentos a tasa real.</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2019 se continuará con la práctica de anunciar trimestralmente los montos mínimos y máximos a colocar de Cetes a 28, 91, 182 días y de un año. Esto permite ofrecer al mercado una guía sobre los montos que se colocarán en instrumentos de corto plazo y a la vez contar con flexibilidad para un manejo más eficiente de la liquidez del Gobierno Federal.</w:t>
      </w:r>
    </w:p>
    <w:p w:rsidR="000E67BC" w:rsidRPr="00AD165E" w:rsidRDefault="000E67BC" w:rsidP="000E67BC">
      <w:pPr>
        <w:autoSpaceDE w:val="0"/>
        <w:autoSpaceDN w:val="0"/>
        <w:adjustRightInd w:val="0"/>
        <w:jc w:val="both"/>
        <w:rPr>
          <w:rFonts w:ascii="Avenir-Book" w:hAnsi="Avenir-Book" w:cs="Arial"/>
          <w:sz w:val="22"/>
          <w:szCs w:val="22"/>
        </w:rPr>
      </w:pPr>
    </w:p>
    <w:p w:rsidR="000E67BC" w:rsidRPr="00AD165E" w:rsidRDefault="000E67BC" w:rsidP="000E67BC">
      <w:pPr>
        <w:autoSpaceDE w:val="0"/>
        <w:autoSpaceDN w:val="0"/>
        <w:adjustRightInd w:val="0"/>
        <w:jc w:val="both"/>
        <w:rPr>
          <w:rFonts w:ascii="Avenir-Book" w:eastAsiaTheme="minorHAnsi" w:hAnsi="Avenir-Book" w:cs="Montserrat-Bold"/>
          <w:b/>
          <w:bCs/>
          <w:sz w:val="22"/>
          <w:szCs w:val="22"/>
        </w:rPr>
      </w:pPr>
      <w:r w:rsidRPr="00AD165E">
        <w:rPr>
          <w:rFonts w:ascii="Avenir-Book" w:eastAsiaTheme="minorHAnsi" w:hAnsi="Avenir-Book" w:cs="Montserrat-Bold"/>
          <w:b/>
          <w:bCs/>
          <w:sz w:val="22"/>
          <w:szCs w:val="22"/>
        </w:rPr>
        <w:t>Política de deuda externa</w:t>
      </w:r>
    </w:p>
    <w:p w:rsidR="000E67BC" w:rsidRPr="00AD165E" w:rsidRDefault="000E67BC" w:rsidP="000E67BC">
      <w:pPr>
        <w:autoSpaceDE w:val="0"/>
        <w:autoSpaceDN w:val="0"/>
        <w:adjustRightInd w:val="0"/>
        <w:jc w:val="both"/>
        <w:rPr>
          <w:rFonts w:ascii="Avenir-Book" w:eastAsiaTheme="minorHAnsi" w:hAnsi="Avenir-Book" w:cs="Montserrat-Bold"/>
          <w:b/>
          <w:bCs/>
          <w:sz w:val="22"/>
          <w:szCs w:val="22"/>
        </w:rPr>
      </w:pPr>
    </w:p>
    <w:p w:rsidR="000E67BC" w:rsidRPr="00AD165E" w:rsidRDefault="000E67BC" w:rsidP="000E67BC">
      <w:pPr>
        <w:autoSpaceDE w:val="0"/>
        <w:autoSpaceDN w:val="0"/>
        <w:adjustRightInd w:val="0"/>
        <w:jc w:val="both"/>
        <w:rPr>
          <w:rFonts w:ascii="Avenir-Book" w:eastAsiaTheme="minorHAnsi" w:hAnsi="Avenir-Book" w:cs="Montserrat-Light"/>
          <w:sz w:val="22"/>
          <w:szCs w:val="22"/>
        </w:rPr>
      </w:pPr>
      <w:r w:rsidRPr="00AD165E">
        <w:rPr>
          <w:rFonts w:ascii="Avenir-Book" w:eastAsiaTheme="minorHAnsi" w:hAnsi="Avenir-Book" w:cs="Montserrat-Light"/>
          <w:sz w:val="22"/>
          <w:szCs w:val="22"/>
        </w:rPr>
        <w:t>La estrategia de deuda externa para 2019 estará orientada a mejorar la eficiencia del portafolio del Gobierno, buscando suavizar el perfil de vencimientos, adecuar las características del portafolio a las condiciones de los mercados financieros, así como desarrollar y fortalecer las emisiones de referencia en los distintos mercados en los que se tiene presencia. Se contempla la posibilidad de realizar operaciones de manejo de pasivos dirigidas a mejorar el perfil de vencimientos y/o reducir el costo financiero.</w:t>
      </w:r>
    </w:p>
    <w:p w:rsidR="000E67BC" w:rsidRPr="00AD165E" w:rsidRDefault="000E67BC" w:rsidP="000E67BC">
      <w:pPr>
        <w:autoSpaceDE w:val="0"/>
        <w:autoSpaceDN w:val="0"/>
        <w:adjustRightInd w:val="0"/>
        <w:jc w:val="both"/>
        <w:rPr>
          <w:rFonts w:ascii="Avenir-Book" w:eastAsiaTheme="minorHAnsi" w:hAnsi="Avenir-Book" w:cs="Montserrat-Light"/>
          <w:sz w:val="22"/>
          <w:szCs w:val="22"/>
        </w:rPr>
      </w:pPr>
    </w:p>
    <w:p w:rsidR="000E67BC" w:rsidRPr="00AD165E" w:rsidRDefault="000E67BC" w:rsidP="000E67BC">
      <w:pPr>
        <w:autoSpaceDE w:val="0"/>
        <w:autoSpaceDN w:val="0"/>
        <w:adjustRightInd w:val="0"/>
        <w:jc w:val="both"/>
        <w:rPr>
          <w:rFonts w:ascii="Avenir-Book" w:eastAsiaTheme="minorHAnsi" w:hAnsi="Avenir-Book" w:cs="Montserrat-Light"/>
          <w:sz w:val="22"/>
          <w:szCs w:val="22"/>
        </w:rPr>
      </w:pPr>
      <w:r w:rsidRPr="00AD165E">
        <w:rPr>
          <w:rFonts w:ascii="Avenir-Book" w:eastAsiaTheme="minorHAnsi" w:hAnsi="Avenir-Book" w:cs="Montserrat-Light"/>
          <w:sz w:val="22"/>
          <w:szCs w:val="22"/>
        </w:rPr>
        <w:t>Durante 2019 se continuará utilizando el financiamiento a través de Organismos Financieros Internacionales (OFIs) como una fuente complementaria de recursos para el Gobierno Federal. Se mantendrá la suficiente flexibilidad en la estrategia de endeudamiento externo para que, en caso de que se presenten periodos de volatilidad o baja liquidez en los mercados financieros de capital, el endeudamiento con los OFIs pueda ser una fuente de financiamiento contra</w:t>
      </w:r>
      <w:r w:rsidR="00533ECB" w:rsidRPr="00AD165E">
        <w:rPr>
          <w:rFonts w:ascii="Avenir-Book" w:eastAsiaTheme="minorHAnsi" w:hAnsi="Avenir-Book" w:cs="Montserrat-Light"/>
          <w:sz w:val="22"/>
          <w:szCs w:val="22"/>
        </w:rPr>
        <w:t xml:space="preserve"> </w:t>
      </w:r>
      <w:r w:rsidRPr="00AD165E">
        <w:rPr>
          <w:rFonts w:ascii="Avenir-Book" w:eastAsiaTheme="minorHAnsi" w:hAnsi="Avenir-Book" w:cs="Montserrat-Light"/>
          <w:sz w:val="22"/>
          <w:szCs w:val="22"/>
        </w:rPr>
        <w:t>cíclico.</w:t>
      </w:r>
    </w:p>
    <w:p w:rsidR="00AF527F" w:rsidRPr="00AD165E" w:rsidRDefault="00AF527F" w:rsidP="00AF527F">
      <w:pPr>
        <w:autoSpaceDE w:val="0"/>
        <w:autoSpaceDN w:val="0"/>
        <w:adjustRightInd w:val="0"/>
        <w:jc w:val="both"/>
        <w:rPr>
          <w:rFonts w:ascii="Avenir-Book" w:eastAsiaTheme="minorHAnsi" w:hAnsi="Avenir-Book" w:cs="Montserrat-Light"/>
          <w:sz w:val="22"/>
          <w:szCs w:val="22"/>
        </w:rPr>
      </w:pPr>
    </w:p>
    <w:p w:rsidR="00DE5E4C" w:rsidRPr="00AD165E" w:rsidRDefault="000E67BC" w:rsidP="00AF527F">
      <w:pPr>
        <w:autoSpaceDE w:val="0"/>
        <w:autoSpaceDN w:val="0"/>
        <w:adjustRightInd w:val="0"/>
        <w:jc w:val="both"/>
        <w:rPr>
          <w:rFonts w:ascii="Avenir-Book" w:eastAsiaTheme="minorHAnsi" w:hAnsi="Avenir-Book" w:cs="Montserrat-Light"/>
          <w:sz w:val="22"/>
          <w:szCs w:val="22"/>
        </w:rPr>
      </w:pPr>
      <w:r w:rsidRPr="00AD165E">
        <w:rPr>
          <w:rFonts w:ascii="Avenir-Book" w:eastAsiaTheme="minorHAnsi" w:hAnsi="Avenir-Book" w:cs="Montserrat-Light"/>
          <w:sz w:val="22"/>
          <w:szCs w:val="22"/>
        </w:rPr>
        <w:t>Finalmente, para 2019 se contempla seguir utilizando el financiamiento y las garantías que ofrecen las Agencias de Crédito a la Exportación (ECAs por sus siglas en inglés), las cuales representan una fuente alterna de crédito que está ligada a las importaciones de maquinaria especializada y equipos de alta tecnología que son realizadas por las dependencias y entidades del Sector Público. Al igual que el crédito con OFIs, el financiamiento con las ECAs suele estar disponible aun en momentos de volatilidad e incertidumbre financiera global. Las garantías que ofrecen este tipo de agencias permiten obtener tasas de interés preferenciales y acceder a una nueva base de i</w:t>
      </w:r>
      <w:r w:rsidR="00AF527F" w:rsidRPr="00AD165E">
        <w:rPr>
          <w:rFonts w:ascii="Avenir-Book" w:eastAsiaTheme="minorHAnsi" w:hAnsi="Avenir-Book" w:cs="Montserrat-Light"/>
          <w:sz w:val="22"/>
          <w:szCs w:val="22"/>
        </w:rPr>
        <w:t>nversionistas.</w:t>
      </w:r>
    </w:p>
    <w:p w:rsidR="000E67BC" w:rsidRPr="00AD165E" w:rsidRDefault="000E67BC" w:rsidP="003247D6">
      <w:pPr>
        <w:autoSpaceDE w:val="0"/>
        <w:autoSpaceDN w:val="0"/>
        <w:adjustRightInd w:val="0"/>
        <w:jc w:val="both"/>
        <w:rPr>
          <w:rFonts w:ascii="Avenir-Book" w:hAnsi="Avenir-Book"/>
          <w:color w:val="545454"/>
          <w:sz w:val="22"/>
          <w:szCs w:val="22"/>
          <w:shd w:val="clear" w:color="auto" w:fill="FFFFFF"/>
        </w:rPr>
      </w:pPr>
    </w:p>
    <w:p w:rsidR="000B3C73" w:rsidRPr="00AD165E" w:rsidRDefault="000B3C73" w:rsidP="002E536D">
      <w:pPr>
        <w:numPr>
          <w:ilvl w:val="0"/>
          <w:numId w:val="5"/>
        </w:numPr>
        <w:tabs>
          <w:tab w:val="left" w:pos="284"/>
        </w:tabs>
        <w:autoSpaceDE w:val="0"/>
        <w:autoSpaceDN w:val="0"/>
        <w:adjustRightInd w:val="0"/>
        <w:spacing w:line="360" w:lineRule="auto"/>
        <w:ind w:left="720"/>
        <w:jc w:val="both"/>
        <w:rPr>
          <w:rFonts w:ascii="Avenir-Book" w:hAnsi="Avenir-Book" w:cs="Arial"/>
          <w:b/>
          <w:sz w:val="22"/>
          <w:szCs w:val="22"/>
        </w:rPr>
      </w:pPr>
      <w:r w:rsidRPr="00AD165E">
        <w:rPr>
          <w:rFonts w:ascii="Avenir-Book" w:hAnsi="Avenir-Book" w:cs="Arial"/>
          <w:b/>
          <w:sz w:val="22"/>
          <w:szCs w:val="22"/>
          <w:lang w:eastAsia="es-MX"/>
        </w:rPr>
        <w:t>ASPECTOS ECONÓMICOS SOBRESALIENTES EN EL ESTADO DE PUEBLA</w:t>
      </w:r>
    </w:p>
    <w:p w:rsidR="000B3C73" w:rsidRPr="00AD165E" w:rsidRDefault="000B3C73" w:rsidP="000B3C73">
      <w:pPr>
        <w:autoSpaceDE w:val="0"/>
        <w:autoSpaceDN w:val="0"/>
        <w:adjustRightInd w:val="0"/>
        <w:jc w:val="both"/>
        <w:rPr>
          <w:rFonts w:ascii="Avenir-Book" w:hAnsi="Avenir-Book" w:cs="Arial"/>
          <w:b/>
          <w:bCs/>
          <w:sz w:val="22"/>
          <w:szCs w:val="22"/>
          <w:lang w:eastAsia="es-MX"/>
        </w:rPr>
      </w:pPr>
      <w:r w:rsidRPr="00AD165E">
        <w:rPr>
          <w:rFonts w:ascii="Avenir-Book" w:hAnsi="Avenir-Book" w:cs="Arial"/>
          <w:b/>
          <w:bCs/>
          <w:sz w:val="22"/>
          <w:szCs w:val="22"/>
          <w:lang w:eastAsia="es-MX"/>
        </w:rPr>
        <w:t xml:space="preserve">Inversión Extranjera </w:t>
      </w:r>
    </w:p>
    <w:p w:rsidR="000B3C73" w:rsidRPr="00AD165E" w:rsidRDefault="000B3C73" w:rsidP="000B3C73">
      <w:pPr>
        <w:autoSpaceDE w:val="0"/>
        <w:autoSpaceDN w:val="0"/>
        <w:adjustRightInd w:val="0"/>
        <w:jc w:val="both"/>
        <w:rPr>
          <w:rFonts w:ascii="Avenir-Book" w:hAnsi="Avenir-Book" w:cs="Arial"/>
          <w:sz w:val="22"/>
          <w:szCs w:val="22"/>
          <w:lang w:eastAsia="es-MX"/>
        </w:rPr>
      </w:pPr>
    </w:p>
    <w:p w:rsidR="00CF6111" w:rsidRPr="00AD165E" w:rsidRDefault="00EC4D0C" w:rsidP="00456BC7">
      <w:pPr>
        <w:spacing w:after="100" w:afterAutospacing="1"/>
        <w:ind w:right="-93"/>
        <w:jc w:val="both"/>
        <w:rPr>
          <w:rFonts w:ascii="Avenir-Book" w:hAnsi="Avenir-Book" w:cs="Arial"/>
          <w:sz w:val="22"/>
          <w:szCs w:val="22"/>
        </w:rPr>
      </w:pPr>
      <w:r w:rsidRPr="00AD165E">
        <w:rPr>
          <w:rFonts w:ascii="Avenir-Book" w:hAnsi="Avenir-Book" w:cs="Arial"/>
          <w:sz w:val="22"/>
          <w:szCs w:val="22"/>
        </w:rPr>
        <w:t xml:space="preserve">De acuerdo con la Secretaría de Economía, la Inversión Extranjera Directa (IED) “es aquella que tiene como propósito crear un vínculo duradero por fines económicos y empresariales de largo plazo, por parte de un inversionista extranjero en el país receptor”. </w:t>
      </w:r>
    </w:p>
    <w:p w:rsidR="00EC4D0C" w:rsidRPr="00AD165E" w:rsidRDefault="00EC4D0C" w:rsidP="00456BC7">
      <w:pPr>
        <w:spacing w:after="100" w:afterAutospacing="1"/>
        <w:ind w:right="-93"/>
        <w:jc w:val="both"/>
        <w:rPr>
          <w:rFonts w:ascii="Avenir-Book" w:hAnsi="Avenir-Book" w:cs="Arial"/>
          <w:sz w:val="22"/>
          <w:szCs w:val="22"/>
        </w:rPr>
      </w:pPr>
      <w:r w:rsidRPr="00AD165E">
        <w:rPr>
          <w:rFonts w:ascii="Avenir-Book" w:hAnsi="Avenir-Book" w:cs="Arial"/>
          <w:sz w:val="22"/>
          <w:szCs w:val="22"/>
        </w:rPr>
        <w:t>Se considera IED:</w:t>
      </w:r>
    </w:p>
    <w:p w:rsidR="00EC4D0C" w:rsidRPr="00AD165E" w:rsidRDefault="00EC4D0C" w:rsidP="00767C5B">
      <w:pPr>
        <w:pStyle w:val="Prrafodelista"/>
        <w:numPr>
          <w:ilvl w:val="0"/>
          <w:numId w:val="26"/>
        </w:numPr>
        <w:spacing w:after="100" w:afterAutospacing="1"/>
        <w:ind w:left="709" w:right="-93"/>
        <w:jc w:val="both"/>
        <w:rPr>
          <w:rFonts w:ascii="Avenir-Book" w:hAnsi="Avenir-Book" w:cs="Arial"/>
        </w:rPr>
      </w:pPr>
      <w:r w:rsidRPr="00AD165E">
        <w:rPr>
          <w:rFonts w:ascii="Avenir-Book" w:hAnsi="Avenir-Book" w:cs="Arial"/>
        </w:rPr>
        <w:t>La participación de inversionistas extranjeros en el capital social de las empresas mexicanas.</w:t>
      </w:r>
    </w:p>
    <w:p w:rsidR="00EC4D0C" w:rsidRPr="00AD165E" w:rsidRDefault="00EC4D0C" w:rsidP="00767C5B">
      <w:pPr>
        <w:pStyle w:val="Prrafodelista"/>
        <w:numPr>
          <w:ilvl w:val="0"/>
          <w:numId w:val="26"/>
        </w:numPr>
        <w:spacing w:after="100" w:afterAutospacing="1"/>
        <w:ind w:left="709" w:right="-93"/>
        <w:jc w:val="both"/>
        <w:rPr>
          <w:rFonts w:ascii="Avenir-Book" w:hAnsi="Avenir-Book" w:cs="Arial"/>
        </w:rPr>
      </w:pPr>
      <w:r w:rsidRPr="00AD165E">
        <w:rPr>
          <w:rFonts w:ascii="Avenir-Book" w:hAnsi="Avenir-Book" w:cs="Arial"/>
        </w:rPr>
        <w:t xml:space="preserve">La participación de inversionistas extranjeros en las actividades y actos contemplados por la ley. </w:t>
      </w:r>
    </w:p>
    <w:p w:rsidR="00EC4D0C" w:rsidRPr="00AD165E" w:rsidRDefault="00EF1ACD" w:rsidP="00456BC7">
      <w:pPr>
        <w:spacing w:after="100" w:afterAutospacing="1"/>
        <w:ind w:right="-93"/>
        <w:jc w:val="both"/>
        <w:rPr>
          <w:rFonts w:ascii="Avenir-Book" w:eastAsiaTheme="minorHAnsi" w:hAnsi="Avenir-Book" w:cs="Montserrat-Light"/>
          <w:sz w:val="22"/>
          <w:szCs w:val="22"/>
        </w:rPr>
      </w:pPr>
      <w:r w:rsidRPr="00AD165E">
        <w:rPr>
          <w:rFonts w:ascii="Avenir-Book" w:eastAsiaTheme="minorHAnsi" w:hAnsi="Avenir-Book" w:cs="Montserrat-Light"/>
          <w:sz w:val="22"/>
          <w:szCs w:val="22"/>
        </w:rPr>
        <w:t xml:space="preserve">Con datos de la misma Dependencia Federal, se reporta </w:t>
      </w:r>
      <w:r w:rsidR="0020279A" w:rsidRPr="00AD165E">
        <w:rPr>
          <w:rFonts w:ascii="Avenir-Book" w:eastAsiaTheme="minorHAnsi" w:hAnsi="Avenir-Book" w:cs="Montserrat-Light"/>
          <w:sz w:val="22"/>
          <w:szCs w:val="22"/>
        </w:rPr>
        <w:t>que,</w:t>
      </w:r>
      <w:r w:rsidRPr="00AD165E">
        <w:rPr>
          <w:rFonts w:ascii="Avenir-Book" w:eastAsiaTheme="minorHAnsi" w:hAnsi="Avenir-Book" w:cs="Montserrat-Light"/>
          <w:sz w:val="22"/>
          <w:szCs w:val="22"/>
        </w:rPr>
        <w:t xml:space="preserve"> a</w:t>
      </w:r>
      <w:r w:rsidR="00EC4D0C" w:rsidRPr="00AD165E">
        <w:rPr>
          <w:rFonts w:ascii="Avenir-Book" w:eastAsiaTheme="minorHAnsi" w:hAnsi="Avenir-Book" w:cs="Montserrat-Light"/>
          <w:sz w:val="22"/>
          <w:szCs w:val="22"/>
        </w:rPr>
        <w:t>l segundo trimestre de 2018, la IED en el Estado de Puebla ascendió a 6 mil 726.9 millones de dólares, siendo un 19.7 % más alto que el monto preliminar del mismo periodo del año anterior (5 mil 621.3 mdd).</w:t>
      </w:r>
    </w:p>
    <w:p w:rsidR="000B3C73" w:rsidRPr="00AD165E" w:rsidRDefault="00EC4D0C" w:rsidP="002E536D">
      <w:pPr>
        <w:spacing w:after="100" w:afterAutospacing="1"/>
        <w:ind w:right="-93"/>
        <w:jc w:val="both"/>
        <w:rPr>
          <w:rFonts w:ascii="Avenir-Book" w:eastAsiaTheme="minorHAnsi" w:hAnsi="Avenir-Book" w:cs="Montserrat-Light"/>
          <w:sz w:val="22"/>
          <w:szCs w:val="22"/>
        </w:rPr>
      </w:pPr>
      <w:r w:rsidRPr="00AD165E">
        <w:rPr>
          <w:rFonts w:ascii="Avenir-Book" w:eastAsiaTheme="minorHAnsi" w:hAnsi="Avenir-Book" w:cs="Montserrat-Light"/>
          <w:sz w:val="22"/>
          <w:szCs w:val="22"/>
        </w:rPr>
        <w:t xml:space="preserve">En congruencia con la vocación económico automotriz del Estado, Alemania se mantiene como uno de los principales inversionistas en el </w:t>
      </w:r>
      <w:r w:rsidR="00EF1ACD" w:rsidRPr="00AD165E">
        <w:rPr>
          <w:rFonts w:ascii="Avenir-Book" w:eastAsiaTheme="minorHAnsi" w:hAnsi="Avenir-Book" w:cs="Montserrat-Light"/>
          <w:sz w:val="22"/>
          <w:szCs w:val="22"/>
        </w:rPr>
        <w:t>E</w:t>
      </w:r>
      <w:r w:rsidRPr="00AD165E">
        <w:rPr>
          <w:rFonts w:ascii="Avenir-Book" w:eastAsiaTheme="minorHAnsi" w:hAnsi="Avenir-Book" w:cs="Montserrat-Light"/>
          <w:sz w:val="22"/>
          <w:szCs w:val="22"/>
        </w:rPr>
        <w:t>stado, al aportar mil 873 millones de pesos; seguido de Estados Unidos con 102.4 millones de pesos y de España con 48.8 millones de pesos.</w:t>
      </w:r>
    </w:p>
    <w:p w:rsidR="000B3C73" w:rsidRPr="00AD165E" w:rsidRDefault="000B3C73" w:rsidP="000B3C73">
      <w:pPr>
        <w:autoSpaceDE w:val="0"/>
        <w:autoSpaceDN w:val="0"/>
        <w:adjustRightInd w:val="0"/>
        <w:jc w:val="both"/>
        <w:rPr>
          <w:rFonts w:ascii="Avenir-Book" w:hAnsi="Avenir-Book" w:cs="Arial"/>
          <w:b/>
          <w:bCs/>
          <w:sz w:val="22"/>
          <w:szCs w:val="22"/>
          <w:lang w:eastAsia="es-MX"/>
        </w:rPr>
      </w:pPr>
      <w:r w:rsidRPr="00AD165E">
        <w:rPr>
          <w:rFonts w:ascii="Avenir-Book" w:hAnsi="Avenir-Book" w:cs="Arial"/>
          <w:b/>
          <w:bCs/>
          <w:sz w:val="22"/>
          <w:szCs w:val="22"/>
          <w:lang w:eastAsia="es-MX"/>
        </w:rPr>
        <w:t xml:space="preserve">Migración y Remesas </w:t>
      </w:r>
    </w:p>
    <w:p w:rsidR="000B3C73" w:rsidRPr="00AD165E" w:rsidRDefault="000B3C73" w:rsidP="000B3C73">
      <w:pPr>
        <w:autoSpaceDE w:val="0"/>
        <w:autoSpaceDN w:val="0"/>
        <w:adjustRightInd w:val="0"/>
        <w:jc w:val="both"/>
        <w:rPr>
          <w:rFonts w:ascii="Avenir-Book" w:hAnsi="Avenir-Book" w:cs="Arial"/>
          <w:sz w:val="22"/>
          <w:szCs w:val="22"/>
          <w:lang w:eastAsia="es-MX"/>
        </w:rPr>
      </w:pPr>
    </w:p>
    <w:p w:rsidR="000B3C73" w:rsidRPr="00AD165E" w:rsidRDefault="000B3C73" w:rsidP="000B3C73">
      <w:pPr>
        <w:pStyle w:val="Default"/>
        <w:spacing w:line="276" w:lineRule="auto"/>
        <w:jc w:val="both"/>
        <w:rPr>
          <w:rFonts w:ascii="Avenir-Book" w:hAnsi="Avenir-Book" w:cs="Arial"/>
          <w:color w:val="auto"/>
          <w:sz w:val="22"/>
          <w:szCs w:val="22"/>
          <w:lang w:val="es-MX" w:eastAsia="es-MX"/>
        </w:rPr>
      </w:pPr>
      <w:r w:rsidRPr="00AD165E">
        <w:rPr>
          <w:rFonts w:ascii="Avenir-Book" w:hAnsi="Avenir-Book" w:cs="Arial"/>
          <w:color w:val="auto"/>
          <w:sz w:val="22"/>
          <w:szCs w:val="22"/>
          <w:lang w:val="es-MX" w:eastAsia="es-MX"/>
        </w:rPr>
        <w:t>La migración implica un fenómeno con impactos económicos, políticos, sociales y culturales para el Estado. De acuerdo con el Censo de Población y Vivienda 2010, 73 mil 458 poblanos radican en el exterior, de ellos el 78.9 por ciento son hombres y el 21.1 por ciento mujeres; del total registrado, el 48.4 por ciento tiene entre 15 y 24 años, seguido del grupo de entre 25 y 34 años que representa el 29.7 por ciento. El principal destino de los poblanos migrantes es hacia los Estados Unidos que concentra el 90.9 por ciento y el 9.1 por ciento restantes, radica en otros países.</w:t>
      </w:r>
    </w:p>
    <w:p w:rsidR="009F7114" w:rsidRPr="00AD165E" w:rsidRDefault="009F7114" w:rsidP="000B3C73">
      <w:pPr>
        <w:pStyle w:val="Default"/>
        <w:spacing w:line="276" w:lineRule="auto"/>
        <w:jc w:val="both"/>
        <w:rPr>
          <w:rFonts w:ascii="Avenir-Book" w:hAnsi="Avenir-Book" w:cs="Arial"/>
          <w:color w:val="auto"/>
          <w:sz w:val="22"/>
          <w:szCs w:val="22"/>
          <w:lang w:val="es-MX" w:eastAsia="es-MX"/>
        </w:rPr>
      </w:pPr>
    </w:p>
    <w:p w:rsidR="00C35778" w:rsidRPr="00AD165E" w:rsidRDefault="000B3C73" w:rsidP="00C35778">
      <w:pPr>
        <w:pStyle w:val="Default"/>
        <w:spacing w:line="276" w:lineRule="auto"/>
        <w:jc w:val="both"/>
        <w:rPr>
          <w:rFonts w:ascii="Avenir-Book" w:hAnsi="Avenir-Book" w:cs="Arial"/>
          <w:color w:val="auto"/>
          <w:sz w:val="22"/>
          <w:szCs w:val="22"/>
        </w:rPr>
      </w:pPr>
      <w:r w:rsidRPr="00AD165E">
        <w:rPr>
          <w:rFonts w:ascii="Avenir-Book" w:hAnsi="Avenir-Book" w:cs="Arial"/>
          <w:color w:val="auto"/>
          <w:sz w:val="22"/>
          <w:szCs w:val="22"/>
        </w:rPr>
        <w:t xml:space="preserve">De ahí que el único efecto favorable de la migración para las zonas expulsoras, son las remesas, que económicamente son registradas en la balanza de pagos como una transferencia de recursos de residentes que viven en el extranjero hacia sus familiares, de acuerdo con datos del Banco de México; </w:t>
      </w:r>
      <w:r w:rsidR="00C35778" w:rsidRPr="00AD165E">
        <w:rPr>
          <w:rFonts w:ascii="Avenir-Book" w:hAnsi="Avenir-Book" w:cs="Arial"/>
          <w:color w:val="auto"/>
          <w:sz w:val="22"/>
          <w:szCs w:val="22"/>
        </w:rPr>
        <w:t>del mes de enero al mes de septiembre pasado, el Estado de Puebla recibió mil 266 millones 400 mil dólares por este concepto.</w:t>
      </w:r>
    </w:p>
    <w:p w:rsidR="00C35778" w:rsidRPr="00AD165E" w:rsidRDefault="00C35778" w:rsidP="000B3C73">
      <w:pPr>
        <w:autoSpaceDE w:val="0"/>
        <w:autoSpaceDN w:val="0"/>
        <w:adjustRightInd w:val="0"/>
        <w:jc w:val="both"/>
        <w:rPr>
          <w:rFonts w:ascii="Avenir-Book" w:hAnsi="Avenir-Book" w:cs="Arial"/>
          <w:b/>
          <w:bCs/>
          <w:sz w:val="22"/>
          <w:szCs w:val="22"/>
          <w:lang w:eastAsia="es-MX"/>
        </w:rPr>
      </w:pPr>
    </w:p>
    <w:p w:rsidR="000B3C73" w:rsidRPr="00AD165E" w:rsidRDefault="000B3C73" w:rsidP="000B3C73">
      <w:pPr>
        <w:autoSpaceDE w:val="0"/>
        <w:autoSpaceDN w:val="0"/>
        <w:adjustRightInd w:val="0"/>
        <w:jc w:val="both"/>
        <w:rPr>
          <w:rFonts w:ascii="Avenir-Book" w:hAnsi="Avenir-Book" w:cs="Arial"/>
          <w:b/>
          <w:bCs/>
          <w:sz w:val="22"/>
          <w:szCs w:val="22"/>
          <w:lang w:eastAsia="es-MX"/>
        </w:rPr>
      </w:pPr>
      <w:r w:rsidRPr="00AD165E">
        <w:rPr>
          <w:rFonts w:ascii="Avenir-Book" w:hAnsi="Avenir-Book" w:cs="Arial"/>
          <w:b/>
          <w:bCs/>
          <w:sz w:val="22"/>
          <w:szCs w:val="22"/>
          <w:lang w:eastAsia="es-MX"/>
        </w:rPr>
        <w:t xml:space="preserve">Inflación </w:t>
      </w:r>
    </w:p>
    <w:p w:rsidR="000B3C73" w:rsidRPr="00AD165E" w:rsidRDefault="000B3C73" w:rsidP="000B3C73">
      <w:pPr>
        <w:autoSpaceDE w:val="0"/>
        <w:autoSpaceDN w:val="0"/>
        <w:adjustRightInd w:val="0"/>
        <w:jc w:val="both"/>
        <w:rPr>
          <w:rFonts w:ascii="Avenir-Book" w:hAnsi="Avenir-Book" w:cs="Arial"/>
          <w:sz w:val="22"/>
          <w:szCs w:val="22"/>
          <w:lang w:eastAsia="es-MX"/>
        </w:rPr>
      </w:pPr>
    </w:p>
    <w:p w:rsidR="005263A1" w:rsidRPr="00AD165E" w:rsidRDefault="005263A1" w:rsidP="000B3C73">
      <w:pPr>
        <w:pStyle w:val="Default"/>
        <w:spacing w:line="276" w:lineRule="auto"/>
        <w:jc w:val="both"/>
        <w:rPr>
          <w:rFonts w:ascii="Avenir-Book" w:hAnsi="Avenir-Book" w:cs="Arial"/>
          <w:color w:val="auto"/>
          <w:sz w:val="22"/>
          <w:szCs w:val="22"/>
          <w:lang w:val="es-MX" w:eastAsia="es-MX"/>
        </w:rPr>
      </w:pPr>
      <w:r w:rsidRPr="00AD165E">
        <w:rPr>
          <w:rFonts w:ascii="Avenir-Book" w:hAnsi="Avenir-Book" w:cs="Arial"/>
          <w:color w:val="auto"/>
          <w:sz w:val="22"/>
          <w:szCs w:val="22"/>
          <w:lang w:val="es-MX" w:eastAsia="es-MX"/>
        </w:rPr>
        <w:t>Con información del Instituto Nacional de Estadística y Geografía, en la primera quincena de agosto de 2018 el Índice Nacional de Precios al Consumidor (INPC) creció 0.34 por ciento, alcanzando así una tasa anual de inflación de 4.81 por ciento. En el mismo periodo de 2017, los datos correspondientes fueron de 0.31 por ciento quincenal y de 6.59 por ciento anual.</w:t>
      </w:r>
    </w:p>
    <w:p w:rsidR="00DE5E4C" w:rsidRPr="00AD165E" w:rsidRDefault="00DE5E4C" w:rsidP="000B3C73">
      <w:pPr>
        <w:pStyle w:val="Default"/>
        <w:spacing w:line="276" w:lineRule="auto"/>
        <w:jc w:val="both"/>
        <w:rPr>
          <w:rFonts w:ascii="Avenir-Book" w:hAnsi="Avenir-Book" w:cs="Arial"/>
          <w:color w:val="auto"/>
          <w:sz w:val="22"/>
          <w:szCs w:val="22"/>
          <w:lang w:val="es-MX" w:eastAsia="es-MX"/>
        </w:rPr>
      </w:pPr>
    </w:p>
    <w:p w:rsidR="00DE5E4C" w:rsidRPr="00AD165E" w:rsidRDefault="00DE5E4C" w:rsidP="00DE5E4C">
      <w:pPr>
        <w:pStyle w:val="Prrafodelista"/>
        <w:numPr>
          <w:ilvl w:val="0"/>
          <w:numId w:val="5"/>
        </w:numPr>
        <w:spacing w:line="266" w:lineRule="exact"/>
        <w:jc w:val="both"/>
        <w:rPr>
          <w:rFonts w:ascii="Avenir-Book" w:hAnsi="Avenir-Book" w:cs="Arial"/>
          <w:b/>
          <w:lang w:eastAsia="es-MX"/>
        </w:rPr>
      </w:pPr>
      <w:r w:rsidRPr="00AD165E">
        <w:rPr>
          <w:rFonts w:ascii="Avenir-Book" w:hAnsi="Avenir-Book" w:cs="Arial"/>
          <w:b/>
          <w:lang w:eastAsia="es-MX"/>
        </w:rPr>
        <w:t>COMPORTAMIENTO DE LOS INGRESOS EN EL MUNICIPIO DE PUEBLA.</w:t>
      </w:r>
    </w:p>
    <w:p w:rsidR="00DE5E4C" w:rsidRPr="00AD165E" w:rsidRDefault="00DE5E4C" w:rsidP="00DE5E4C">
      <w:pPr>
        <w:tabs>
          <w:tab w:val="left" w:pos="284"/>
        </w:tabs>
        <w:autoSpaceDE w:val="0"/>
        <w:autoSpaceDN w:val="0"/>
        <w:adjustRightInd w:val="0"/>
        <w:spacing w:line="360" w:lineRule="auto"/>
        <w:jc w:val="both"/>
        <w:rPr>
          <w:rFonts w:ascii="Avenir-Book" w:hAnsi="Avenir-Book" w:cs="Arial"/>
          <w:b/>
          <w:sz w:val="22"/>
          <w:szCs w:val="22"/>
          <w:lang w:eastAsia="es-MX"/>
        </w:rPr>
      </w:pPr>
      <w:r w:rsidRPr="00AD165E">
        <w:rPr>
          <w:rFonts w:ascii="Avenir-Book" w:hAnsi="Avenir-Book" w:cs="Arial"/>
          <w:b/>
          <w:sz w:val="22"/>
          <w:szCs w:val="22"/>
          <w:lang w:eastAsia="es-MX"/>
        </w:rPr>
        <w:t>Evolución de los Ingresos de Gestión en el Ejercicio Fiscal 2018 en el Municipio de Puebla</w:t>
      </w:r>
    </w:p>
    <w:p w:rsidR="00DE5E4C" w:rsidRPr="00AD165E" w:rsidRDefault="00DE5E4C" w:rsidP="00DE5E4C">
      <w:pPr>
        <w:spacing w:line="266" w:lineRule="exact"/>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Considerando las condiciones económicas del país y los esfuerzos de la actual administración por mejorar la recaudación de sus ingresos de gestión durante el presente Ejercicio Fiscal 2018, se esperaba un crecimiento moderado, sin embargo siempre se procuró mantener la línea arriba de los ingresos recaudados en el año anterior, a través de la continuidad del otorgamiento de los estímulos fiscales, como la ampliación del periodo de pago del Impuesto Predial y los Derechos por Servicios de Recolección, Traslado y Disposición Final de Desechos y/o Residuos Sólidos, hasta el mes de marzo de 2018, el cual dio como resultado que por el periodo de enero a marzo de 2018 se recaudaran $342,286,057.46.</w:t>
      </w:r>
    </w:p>
    <w:p w:rsidR="00DE5E4C" w:rsidRPr="00AD165E" w:rsidRDefault="00DE5E4C" w:rsidP="00DE5E4C">
      <w:pPr>
        <w:ind w:firstLine="284"/>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Referente al Impuesto sobre Adquisición de Bienes Inmuebles, respecto al cierre del mes de septiembre de 2018, se obtuvo una recaudación de $189.6 millones de pesos, que comparado con los $214.2 millones de pesos recaudados en el ejercicio fiscal anterior, al mismo mes, se reporta un decremento del 11.49%, con $24.6 millones de pesos menos, sin embargo, se estima llegar a la meta presupuestada debido a los nuevos desarrollos inmobiliarios para este cierre de ejercicio.</w:t>
      </w:r>
    </w:p>
    <w:p w:rsidR="00DE5E4C" w:rsidRPr="00AD165E" w:rsidRDefault="00DE5E4C" w:rsidP="00DE5E4C">
      <w:pPr>
        <w:spacing w:line="360" w:lineRule="auto"/>
        <w:ind w:firstLine="284"/>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Por lo que se refiere al ingreso por Derechos, respecto al cierre del mes de septiembre de 2018, se obtuvo una recaudación de $404.7 millones de pesos, que comparado con los $355.4 millones de pesos recaudados en el ejercicio fiscal anterior, al mismo mes, se reporta un incremento del 13.88%, con $49.3 millones de pesos más.</w:t>
      </w:r>
    </w:p>
    <w:p w:rsidR="00DE5E4C" w:rsidRPr="00AD165E" w:rsidRDefault="00DE5E4C" w:rsidP="00DE5E4C">
      <w:pPr>
        <w:spacing w:line="360" w:lineRule="auto"/>
        <w:ind w:firstLine="284"/>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En lo que se refiere al ingreso por Productos, respecto al cierre del mes de septiembre de 2018, se obtuvo una recaudación de $38.1 millones de pesos, que comparado con los $30.1 millones de pesos recaudados en el ejercicio fiscal anterior, al mismo mes, se reporta un incremento del 26.51%, con $7.9 millones de pesos más.</w:t>
      </w:r>
    </w:p>
    <w:p w:rsidR="00DE5E4C" w:rsidRPr="00AD165E" w:rsidRDefault="00DE5E4C" w:rsidP="00DE5E4C">
      <w:pPr>
        <w:spacing w:line="276" w:lineRule="auto"/>
        <w:ind w:firstLine="284"/>
        <w:jc w:val="both"/>
        <w:rPr>
          <w:rFonts w:ascii="Avenir-Book" w:hAnsi="Avenir-Book" w:cs="Arial"/>
          <w:sz w:val="22"/>
          <w:szCs w:val="22"/>
          <w:lang w:eastAsia="es-MX"/>
        </w:rPr>
      </w:pPr>
    </w:p>
    <w:p w:rsidR="00DE5E4C"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La recaudación obtenida por concepto de Aprovechamientos, respecto al cierre del mes de septiembre de 2018, fue de $95.6 millones de pesos, que comparado con los $110.3 millones de pesos recaudados en el ejercicio fiscal anterior, al mismo mes, se reporta un decremento del 13.29%, que representa $14.6 millones de pesos de menos, sin embargo, se estima llegar a la meta presupuestada debido a los nuevos desarrollos inmobiliarios para este cierre de ejercicio.</w:t>
      </w:r>
    </w:p>
    <w:p w:rsidR="002174E1" w:rsidRPr="00AD165E" w:rsidRDefault="002174E1" w:rsidP="00DE5E4C">
      <w:pPr>
        <w:spacing w:line="266" w:lineRule="exact"/>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En general, el total de los Ingresos de gestión para 2018, respecto al cierre del mes de septiembre de 2018, fue de $1,174 millones de pesos, que comparados con los $1,093 millones de pesos recaudados en el ejercicio fiscal anterior, al mismo mes, se reporta un incremento del 7.41%, que representa $81 millones de pesos de más.</w:t>
      </w:r>
    </w:p>
    <w:p w:rsidR="00DE5E4C" w:rsidRPr="00AD165E" w:rsidRDefault="00DE5E4C" w:rsidP="00DE5E4C">
      <w:pPr>
        <w:spacing w:line="360" w:lineRule="auto"/>
        <w:ind w:firstLine="284"/>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Respecto a las Participaciones Federales, se obtuvo un ligero incremento en relación a los techos financieros estimados del presupuesto original 2018, contra los publicados en el Periódico Oficial del Estado de Puebla de fecha 14 de febrero de 2018.</w:t>
      </w:r>
    </w:p>
    <w:p w:rsidR="00DE5E4C" w:rsidRPr="00AD165E" w:rsidRDefault="00DE5E4C" w:rsidP="00DE5E4C">
      <w:pPr>
        <w:spacing w:line="360" w:lineRule="auto"/>
        <w:ind w:firstLine="284"/>
        <w:jc w:val="both"/>
        <w:rPr>
          <w:rFonts w:ascii="Avenir-Book" w:hAnsi="Avenir-Book" w:cs="Arial"/>
          <w:sz w:val="22"/>
          <w:szCs w:val="22"/>
          <w:lang w:eastAsia="es-MX"/>
        </w:rPr>
      </w:pPr>
    </w:p>
    <w:p w:rsidR="00DE5E4C" w:rsidRPr="00AD165E" w:rsidRDefault="00DE5E4C" w:rsidP="00533ECB">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Las bases presupuestadas para estos rubros fueron basadas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w:t>
      </w:r>
    </w:p>
    <w:p w:rsidR="00DE5E4C" w:rsidRPr="00AD165E" w:rsidRDefault="00DE5E4C" w:rsidP="00DE5E4C">
      <w:pPr>
        <w:jc w:val="both"/>
        <w:rPr>
          <w:rFonts w:ascii="Avenir-Book" w:hAnsi="Avenir-Book" w:cs="Arial"/>
          <w:sz w:val="22"/>
          <w:szCs w:val="22"/>
        </w:rPr>
      </w:pPr>
    </w:p>
    <w:p w:rsidR="00DE5E4C" w:rsidRPr="00AD165E" w:rsidRDefault="00DE5E4C" w:rsidP="002E536D">
      <w:pPr>
        <w:pStyle w:val="Prrafodelista"/>
        <w:numPr>
          <w:ilvl w:val="0"/>
          <w:numId w:val="5"/>
        </w:numPr>
        <w:tabs>
          <w:tab w:val="left" w:pos="284"/>
        </w:tabs>
        <w:autoSpaceDE w:val="0"/>
        <w:autoSpaceDN w:val="0"/>
        <w:adjustRightInd w:val="0"/>
        <w:spacing w:line="360" w:lineRule="auto"/>
        <w:jc w:val="both"/>
        <w:rPr>
          <w:rFonts w:ascii="Avenir-Book" w:hAnsi="Avenir-Book" w:cs="Arial"/>
          <w:b/>
          <w:lang w:eastAsia="es-MX"/>
        </w:rPr>
      </w:pPr>
      <w:r w:rsidRPr="00AD165E">
        <w:rPr>
          <w:rFonts w:ascii="Avenir-Book" w:hAnsi="Avenir-Book" w:cs="Arial"/>
          <w:b/>
          <w:lang w:eastAsia="es-MX"/>
        </w:rPr>
        <w:t>PRESUPUESTO DE INGRESOS PARA 2019 EN EL MUNICIPIO DE PUEBLA</w:t>
      </w:r>
    </w:p>
    <w:p w:rsidR="00DE5E4C" w:rsidRPr="00AD165E" w:rsidRDefault="00DE5E4C" w:rsidP="00DE5E4C">
      <w:pPr>
        <w:spacing w:line="266" w:lineRule="exact"/>
        <w:jc w:val="both"/>
        <w:rPr>
          <w:rFonts w:ascii="Avenir-Book" w:hAnsi="Avenir-Book" w:cs="Arial"/>
          <w:color w:val="000000"/>
          <w:sz w:val="22"/>
          <w:szCs w:val="22"/>
        </w:rPr>
      </w:pPr>
      <w:r w:rsidRPr="00AD165E">
        <w:rPr>
          <w:rFonts w:ascii="Avenir-Book" w:hAnsi="Avenir-Book" w:cs="Arial"/>
          <w:sz w:val="22"/>
          <w:szCs w:val="22"/>
          <w:lang w:eastAsia="es-MX"/>
        </w:rPr>
        <w:t xml:space="preserve">El escenario propuesto para el 2019 en materia de Ingresos Municipales, contempla un fuerte grado de responsabilidad y congruencia en cuanto a la expectativa de crecimiento de dichos ingresos, que permita hacer frente a las necesidades de la Administración Pública Municipal e incentive la mejora de esta, y a su vez considere la situación de la economía internacional y nacional; por lo que; </w:t>
      </w:r>
      <w:r w:rsidRPr="00AD165E">
        <w:rPr>
          <w:rFonts w:ascii="Avenir-Book" w:hAnsi="Avenir-Book" w:cs="Arial"/>
          <w:color w:val="000000"/>
          <w:sz w:val="22"/>
          <w:szCs w:val="22"/>
        </w:rPr>
        <w:t>observando los Pre-Criterios Generales de Política Económica 2019, emitidos por la Secretaría de Hacienda y Crédito Público; de donde se obtienen variables como el precio del petróleo, del gas natural, el tipo de cambio del peso respecto al dólar de los Estados Unidos de América, el Producto Interno Bruto y la inflación anual, principalmente; de manera general, la iniciativa de Ley de Ingresos del Municipio de Puebla que estará vigente en el año 2019, propone actualizar las cuotas y/o tarifas establecidas en 2018 con un porcentaje del 4.9 por ciento, el cual es equivalente a la inflación general anual observada al mes de agosto de 2018.</w:t>
      </w:r>
    </w:p>
    <w:p w:rsidR="00DE5E4C" w:rsidRPr="00AD165E" w:rsidRDefault="00DE5E4C" w:rsidP="00DE5E4C">
      <w:pPr>
        <w:jc w:val="both"/>
        <w:rPr>
          <w:rFonts w:ascii="Avenir-Book" w:hAnsi="Avenir-Book" w:cs="Arial"/>
          <w:color w:val="000000"/>
          <w:sz w:val="22"/>
          <w:szCs w:val="22"/>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En este sentido, el Presupuesto de Ingresos para el ejercicio Fiscal 2019 estima una recaudación total de $5´048,132,400.00 millones de pesos para el Municipio de Puebla, de los cuales, por concepto de Ingresos de gestión se esperan recaudar $1,769,906,416.00 millones de pesos.</w:t>
      </w:r>
    </w:p>
    <w:p w:rsidR="00DE5E4C" w:rsidRPr="00AD165E" w:rsidRDefault="00DE5E4C" w:rsidP="00DE5E4C">
      <w:pPr>
        <w:jc w:val="both"/>
        <w:rPr>
          <w:rFonts w:ascii="Avenir-Book" w:hAnsi="Avenir-Book" w:cs="Arial"/>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 xml:space="preserve">Por lo que hace a los ingresos derivados de la Coordinación Fiscal, se consideran $2,000,848,358.00 millones de pesos del Ramo 28; del Ramo 33 $1,202,377,626.00 millones de pesos y $75,000,000.00 millones de pesos por concepto de otros Fondos Federales. </w:t>
      </w:r>
    </w:p>
    <w:p w:rsidR="00DE5E4C" w:rsidRPr="00AD165E" w:rsidRDefault="00DE5E4C" w:rsidP="00DE5E4C">
      <w:pPr>
        <w:jc w:val="both"/>
        <w:rPr>
          <w:rFonts w:ascii="Avenir-Book" w:hAnsi="Avenir-Book" w:cs="Arial"/>
          <w:sz w:val="22"/>
          <w:szCs w:val="22"/>
          <w:lang w:eastAsia="es-MX"/>
        </w:rPr>
      </w:pPr>
    </w:p>
    <w:p w:rsidR="00DE5E4C"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 xml:space="preserve">Esta composición en los ingresos totales arroja una autonomía financiera de 35.06%,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w:t>
      </w:r>
      <w:r w:rsidR="00AD165E" w:rsidRPr="00AD165E">
        <w:rPr>
          <w:rFonts w:ascii="Avenir-Book" w:hAnsi="Avenir-Book" w:cs="Arial"/>
          <w:sz w:val="22"/>
          <w:szCs w:val="22"/>
          <w:lang w:eastAsia="es-MX"/>
        </w:rPr>
        <w:t>en relación con</w:t>
      </w:r>
      <w:r w:rsidRPr="00AD165E">
        <w:rPr>
          <w:rFonts w:ascii="Avenir-Book" w:hAnsi="Avenir-Book" w:cs="Arial"/>
          <w:sz w:val="22"/>
          <w:szCs w:val="22"/>
          <w:lang w:eastAsia="es-MX"/>
        </w:rPr>
        <w:t xml:space="preserve"> los recursos </w:t>
      </w:r>
      <w:r w:rsidR="00AD165E" w:rsidRPr="00AD165E">
        <w:rPr>
          <w:rFonts w:ascii="Avenir-Book" w:hAnsi="Avenir-Book" w:cs="Arial"/>
          <w:sz w:val="22"/>
          <w:szCs w:val="22"/>
          <w:lang w:eastAsia="es-MX"/>
        </w:rPr>
        <w:t>federales</w:t>
      </w:r>
      <w:r w:rsidRPr="00AD165E">
        <w:rPr>
          <w:rFonts w:ascii="Avenir-Book" w:hAnsi="Avenir-Book" w:cs="Arial"/>
          <w:sz w:val="22"/>
          <w:szCs w:val="22"/>
          <w:lang w:eastAsia="es-MX"/>
        </w:rPr>
        <w:t xml:space="preserve"> se vea disminuida.</w:t>
      </w:r>
    </w:p>
    <w:p w:rsidR="00DE5E4C" w:rsidRPr="00AD165E" w:rsidRDefault="00533ECB" w:rsidP="00533ECB">
      <w:pPr>
        <w:tabs>
          <w:tab w:val="left" w:pos="5175"/>
        </w:tabs>
        <w:jc w:val="both"/>
        <w:rPr>
          <w:rFonts w:ascii="Avenir-Book" w:hAnsi="Avenir-Book" w:cs="Arial"/>
          <w:sz w:val="22"/>
          <w:szCs w:val="22"/>
          <w:lang w:val="es-MX"/>
        </w:rPr>
      </w:pPr>
      <w:r w:rsidRPr="00AD165E">
        <w:rPr>
          <w:rFonts w:ascii="Avenir-Book" w:hAnsi="Avenir-Book" w:cs="Arial"/>
          <w:sz w:val="22"/>
          <w:szCs w:val="22"/>
          <w:lang w:val="es-MX"/>
        </w:rPr>
        <w:tab/>
      </w:r>
    </w:p>
    <w:p w:rsidR="00DE5E4C" w:rsidRPr="00AD165E" w:rsidRDefault="00DE5E4C" w:rsidP="00DE5E4C">
      <w:pPr>
        <w:numPr>
          <w:ilvl w:val="0"/>
          <w:numId w:val="5"/>
        </w:numPr>
        <w:tabs>
          <w:tab w:val="left" w:pos="284"/>
        </w:tabs>
        <w:autoSpaceDE w:val="0"/>
        <w:autoSpaceDN w:val="0"/>
        <w:adjustRightInd w:val="0"/>
        <w:spacing w:line="276" w:lineRule="auto"/>
        <w:ind w:left="0" w:firstLine="360"/>
        <w:jc w:val="both"/>
        <w:rPr>
          <w:rFonts w:ascii="Avenir-Book" w:hAnsi="Avenir-Book" w:cs="Arial"/>
          <w:b/>
          <w:sz w:val="22"/>
          <w:szCs w:val="22"/>
          <w:lang w:eastAsia="es-MX"/>
        </w:rPr>
      </w:pPr>
      <w:r w:rsidRPr="00AD165E">
        <w:rPr>
          <w:rFonts w:ascii="Avenir-Book" w:hAnsi="Avenir-Book" w:cs="Arial"/>
          <w:b/>
          <w:sz w:val="22"/>
          <w:szCs w:val="22"/>
          <w:lang w:eastAsia="es-MX"/>
        </w:rPr>
        <w:t>DINÁMICA DE LOS INGRESOS FEDERALES QUE PERCIBE LA HACIENDA PÚBLICA MUNICIPAL</w:t>
      </w:r>
    </w:p>
    <w:p w:rsidR="00DE5E4C" w:rsidRPr="00AD165E" w:rsidRDefault="00DE5E4C" w:rsidP="00DE5E4C">
      <w:pPr>
        <w:spacing w:line="266" w:lineRule="exact"/>
        <w:jc w:val="both"/>
        <w:rPr>
          <w:rFonts w:ascii="Avenir-Book" w:hAnsi="Avenir-Book" w:cs="Arial"/>
          <w:lang w:eastAsia="es-MX"/>
        </w:rPr>
      </w:pPr>
    </w:p>
    <w:p w:rsidR="002E536D" w:rsidRPr="00AD165E" w:rsidRDefault="00DE5E4C" w:rsidP="00DE5E4C">
      <w:pPr>
        <w:spacing w:line="266" w:lineRule="exact"/>
        <w:jc w:val="both"/>
        <w:rPr>
          <w:rFonts w:ascii="Avenir-Book" w:hAnsi="Avenir-Book" w:cs="Arial"/>
          <w:sz w:val="22"/>
          <w:szCs w:val="22"/>
          <w:lang w:eastAsia="es-MX"/>
        </w:rPr>
      </w:pPr>
      <w:r w:rsidRPr="00AD165E">
        <w:rPr>
          <w:rFonts w:ascii="Avenir-Book" w:hAnsi="Avenir-Book" w:cs="Arial"/>
          <w:sz w:val="22"/>
          <w:szCs w:val="22"/>
          <w:lang w:eastAsia="es-MX"/>
        </w:rPr>
        <w:t>Los ingresos previstos por concepto de la Coordinación Fiscal, es decir, por Participaciones, Aportaciones Federales y otros Fondos asciende a $3,278.225,984.00 millones de pesos para el ejercicio fiscal 2019 y representa el 64.94% de los ingresos totales. Estos a su vez se conforman por $2,000,848,358.00</w:t>
      </w:r>
      <w:r w:rsidR="0093206D" w:rsidRPr="00AD165E">
        <w:rPr>
          <w:rFonts w:ascii="Avenir-Book" w:hAnsi="Avenir-Book" w:cs="Arial"/>
          <w:sz w:val="22"/>
          <w:szCs w:val="22"/>
          <w:lang w:eastAsia="es-MX"/>
        </w:rPr>
        <w:t xml:space="preserve"> </w:t>
      </w:r>
      <w:r w:rsidRPr="00AD165E">
        <w:rPr>
          <w:rFonts w:ascii="Avenir-Book" w:hAnsi="Avenir-Book" w:cs="Arial"/>
          <w:sz w:val="22"/>
          <w:szCs w:val="22"/>
          <w:lang w:eastAsia="es-MX"/>
        </w:rPr>
        <w:t>millones de pesos de participaciones del Ramo 28, $1,202,377,626.00 millones de pesos de aportaciones del Ramo 33 y $75,000,000.00 de otros fondos, que están sujetos a la aprobación del Presupuesto de Egresos de la Federación 2019.</w:t>
      </w:r>
    </w:p>
    <w:p w:rsidR="000B3C73" w:rsidRPr="00AD165E" w:rsidRDefault="000B3C73" w:rsidP="000B3C73">
      <w:pPr>
        <w:pStyle w:val="Sinespaciado"/>
        <w:rPr>
          <w:rFonts w:ascii="Avenir-Book" w:hAnsi="Avenir-Book"/>
          <w:highlight w:val="yellow"/>
        </w:rPr>
      </w:pPr>
    </w:p>
    <w:p w:rsidR="000B3C73" w:rsidRPr="00AD165E" w:rsidRDefault="000B3C73" w:rsidP="000B3C73">
      <w:pPr>
        <w:autoSpaceDE w:val="0"/>
        <w:autoSpaceDN w:val="0"/>
        <w:adjustRightInd w:val="0"/>
        <w:jc w:val="center"/>
        <w:rPr>
          <w:rFonts w:ascii="Avenir-Book" w:hAnsi="Avenir-Book" w:cs="Arial"/>
          <w:sz w:val="22"/>
          <w:szCs w:val="22"/>
          <w:highlight w:val="green"/>
        </w:rPr>
      </w:pPr>
      <w:r w:rsidRPr="00AD165E">
        <w:rPr>
          <w:rFonts w:ascii="Avenir-Book" w:hAnsi="Avenir-Book" w:cs="Arial"/>
          <w:b/>
          <w:sz w:val="22"/>
          <w:szCs w:val="22"/>
        </w:rPr>
        <w:t>LA LEY DE INGRESOS ESTIMADA POR RUBRO Y TIPO ES LA SIGUIENTE</w:t>
      </w:r>
      <w:r w:rsidRPr="00AD165E">
        <w:rPr>
          <w:rFonts w:ascii="Avenir-Book" w:hAnsi="Avenir-Book" w:cs="Arial"/>
          <w:sz w:val="22"/>
          <w:szCs w:val="22"/>
        </w:rPr>
        <w:t>:</w:t>
      </w:r>
    </w:p>
    <w:p w:rsidR="000B3C73" w:rsidRPr="00AD165E" w:rsidRDefault="000B3C73" w:rsidP="000B3C73">
      <w:pPr>
        <w:autoSpaceDE w:val="0"/>
        <w:autoSpaceDN w:val="0"/>
        <w:adjustRightInd w:val="0"/>
        <w:jc w:val="center"/>
        <w:rPr>
          <w:rFonts w:ascii="Avenir-Book" w:hAnsi="Avenir-Book" w:cs="Arial"/>
          <w:sz w:val="22"/>
          <w:szCs w:val="22"/>
          <w:highlight w:val="green"/>
        </w:rPr>
      </w:pPr>
    </w:p>
    <w:tbl>
      <w:tblPr>
        <w:tblW w:w="5086" w:type="pct"/>
        <w:tblLayout w:type="fixed"/>
        <w:tblCellMar>
          <w:left w:w="70" w:type="dxa"/>
          <w:right w:w="70" w:type="dxa"/>
        </w:tblCellMar>
        <w:tblLook w:val="04A0" w:firstRow="1" w:lastRow="0" w:firstColumn="1" w:lastColumn="0" w:noHBand="0" w:noVBand="1"/>
      </w:tblPr>
      <w:tblGrid>
        <w:gridCol w:w="732"/>
        <w:gridCol w:w="6534"/>
        <w:gridCol w:w="1865"/>
      </w:tblGrid>
      <w:tr w:rsidR="0093206D" w:rsidRPr="00AD165E" w:rsidTr="0093206D">
        <w:trPr>
          <w:trHeight w:val="610"/>
        </w:trPr>
        <w:tc>
          <w:tcPr>
            <w:tcW w:w="5000" w:type="pct"/>
            <w:gridSpan w:val="3"/>
            <w:tcBorders>
              <w:top w:val="single" w:sz="4" w:space="0" w:color="auto"/>
              <w:left w:val="single" w:sz="4" w:space="0" w:color="auto"/>
              <w:right w:val="single" w:sz="4" w:space="0" w:color="auto"/>
            </w:tcBorders>
            <w:shd w:val="clear" w:color="auto" w:fill="943634" w:themeFill="accent2" w:themeFillShade="BF"/>
            <w:noWrap/>
            <w:vAlign w:val="center"/>
            <w:hideMark/>
          </w:tcPr>
          <w:p w:rsidR="0093206D" w:rsidRPr="00AD165E" w:rsidRDefault="0093206D" w:rsidP="0093206D">
            <w:pPr>
              <w:jc w:val="center"/>
              <w:rPr>
                <w:rFonts w:ascii="Avenir-Book" w:hAnsi="Avenir-Book" w:cs="Arial"/>
                <w:b/>
                <w:bCs/>
                <w:color w:val="FFFFFF" w:themeColor="background1"/>
                <w:lang w:eastAsia="es-MX"/>
              </w:rPr>
            </w:pPr>
            <w:r w:rsidRPr="00AD165E">
              <w:rPr>
                <w:rFonts w:ascii="Avenir-Book" w:hAnsi="Avenir-Book" w:cs="Arial"/>
                <w:b/>
                <w:bCs/>
                <w:color w:val="FFFFFF" w:themeColor="background1"/>
                <w:sz w:val="22"/>
                <w:szCs w:val="22"/>
                <w:lang w:eastAsia="es-MX"/>
              </w:rPr>
              <w:t>MUNICIPIO DE PUEBLA</w:t>
            </w:r>
          </w:p>
          <w:p w:rsidR="0093206D" w:rsidRPr="00AD165E" w:rsidRDefault="0093206D" w:rsidP="0093206D">
            <w:pPr>
              <w:jc w:val="center"/>
              <w:rPr>
                <w:rFonts w:ascii="Avenir-Book" w:hAnsi="Avenir-Book" w:cs="Arial"/>
                <w:b/>
                <w:bCs/>
                <w:color w:val="FFFFFF" w:themeColor="background1"/>
                <w:lang w:eastAsia="es-MX"/>
              </w:rPr>
            </w:pPr>
            <w:r w:rsidRPr="00AD165E">
              <w:rPr>
                <w:rFonts w:ascii="Avenir-Book" w:hAnsi="Avenir-Book" w:cs="Arial"/>
                <w:b/>
                <w:bCs/>
                <w:color w:val="FFFFFF" w:themeColor="background1"/>
                <w:sz w:val="22"/>
                <w:szCs w:val="22"/>
                <w:lang w:eastAsia="es-MX"/>
              </w:rPr>
              <w:t>Iniciativa de Ley de Ingresos para el Ejercicio Fiscal 2019</w:t>
            </w:r>
          </w:p>
        </w:tc>
      </w:tr>
      <w:tr w:rsidR="000B3C73" w:rsidRPr="00AD165E" w:rsidTr="00AD165E">
        <w:trPr>
          <w:trHeight w:val="328"/>
        </w:trPr>
        <w:tc>
          <w:tcPr>
            <w:tcW w:w="4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B3C73" w:rsidRPr="00AD165E" w:rsidRDefault="000B3C73" w:rsidP="0093206D">
            <w:pPr>
              <w:jc w:val="center"/>
              <w:rPr>
                <w:rFonts w:ascii="Avenir-Book" w:hAnsi="Avenir-Book" w:cs="Arial"/>
                <w:lang w:eastAsia="es-MX"/>
              </w:rPr>
            </w:pPr>
          </w:p>
        </w:tc>
        <w:tc>
          <w:tcPr>
            <w:tcW w:w="357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0B3C73" w:rsidRPr="00AD165E" w:rsidRDefault="000B3C73" w:rsidP="0093206D">
            <w:pPr>
              <w:jc w:val="center"/>
              <w:rPr>
                <w:rFonts w:ascii="Avenir-Book" w:hAnsi="Avenir-Book" w:cs="Arial"/>
                <w:lang w:eastAsia="es-MX"/>
              </w:rPr>
            </w:pPr>
          </w:p>
        </w:tc>
        <w:tc>
          <w:tcPr>
            <w:tcW w:w="1021" w:type="pct"/>
            <w:vMerge w:val="restart"/>
            <w:tcBorders>
              <w:top w:val="nil"/>
              <w:left w:val="single" w:sz="4" w:space="0" w:color="auto"/>
              <w:bottom w:val="single" w:sz="4" w:space="0" w:color="000000"/>
              <w:right w:val="single" w:sz="4" w:space="0" w:color="auto"/>
            </w:tcBorders>
            <w:shd w:val="clear" w:color="auto" w:fill="auto"/>
            <w:vAlign w:val="center"/>
            <w:hideMark/>
          </w:tcPr>
          <w:p w:rsidR="000B3C73" w:rsidRPr="00AD165E" w:rsidRDefault="000B3C73" w:rsidP="0093206D">
            <w:pPr>
              <w:jc w:val="center"/>
              <w:rPr>
                <w:rFonts w:ascii="Avenir-Book" w:hAnsi="Avenir-Book" w:cs="Arial"/>
                <w:b/>
                <w:bCs/>
                <w:lang w:eastAsia="es-MX"/>
              </w:rPr>
            </w:pPr>
            <w:r w:rsidRPr="00AD165E">
              <w:rPr>
                <w:rFonts w:ascii="Avenir-Book" w:hAnsi="Avenir-Book" w:cs="Arial"/>
                <w:b/>
                <w:bCs/>
                <w:sz w:val="22"/>
                <w:szCs w:val="22"/>
                <w:lang w:eastAsia="es-MX"/>
              </w:rPr>
              <w:t>Ingreso Estimado</w:t>
            </w:r>
          </w:p>
        </w:tc>
      </w:tr>
      <w:tr w:rsidR="000B3C73" w:rsidRPr="00AD165E" w:rsidTr="0093206D">
        <w:trPr>
          <w:trHeight w:val="537"/>
        </w:trPr>
        <w:tc>
          <w:tcPr>
            <w:tcW w:w="401" w:type="pct"/>
            <w:vMerge/>
            <w:tcBorders>
              <w:top w:val="nil"/>
              <w:left w:val="single" w:sz="4" w:space="0" w:color="auto"/>
              <w:bottom w:val="single" w:sz="4" w:space="0" w:color="000000"/>
              <w:right w:val="single" w:sz="4" w:space="0" w:color="auto"/>
            </w:tcBorders>
            <w:vAlign w:val="center"/>
            <w:hideMark/>
          </w:tcPr>
          <w:p w:rsidR="000B3C73" w:rsidRPr="00AD165E" w:rsidRDefault="000B3C73" w:rsidP="000B3C73">
            <w:pPr>
              <w:rPr>
                <w:rFonts w:ascii="Avenir-Book" w:hAnsi="Avenir-Book" w:cs="Arial"/>
                <w:lang w:eastAsia="es-MX"/>
              </w:rPr>
            </w:pPr>
          </w:p>
        </w:tc>
        <w:tc>
          <w:tcPr>
            <w:tcW w:w="3578" w:type="pct"/>
            <w:vMerge/>
            <w:tcBorders>
              <w:top w:val="nil"/>
              <w:left w:val="single" w:sz="4" w:space="0" w:color="auto"/>
              <w:bottom w:val="single" w:sz="4" w:space="0" w:color="000000"/>
              <w:right w:val="single" w:sz="4" w:space="0" w:color="auto"/>
            </w:tcBorders>
            <w:vAlign w:val="center"/>
            <w:hideMark/>
          </w:tcPr>
          <w:p w:rsidR="000B3C73" w:rsidRPr="00AD165E" w:rsidRDefault="000B3C73" w:rsidP="000B3C73">
            <w:pPr>
              <w:rPr>
                <w:rFonts w:ascii="Avenir-Book" w:hAnsi="Avenir-Book" w:cs="Arial"/>
                <w:lang w:eastAsia="es-MX"/>
              </w:rPr>
            </w:pPr>
          </w:p>
        </w:tc>
        <w:tc>
          <w:tcPr>
            <w:tcW w:w="1021" w:type="pct"/>
            <w:vMerge/>
            <w:tcBorders>
              <w:top w:val="nil"/>
              <w:left w:val="single" w:sz="4" w:space="0" w:color="auto"/>
              <w:bottom w:val="single" w:sz="4" w:space="0" w:color="000000"/>
              <w:right w:val="single" w:sz="4" w:space="0" w:color="auto"/>
            </w:tcBorders>
            <w:vAlign w:val="center"/>
            <w:hideMark/>
          </w:tcPr>
          <w:p w:rsidR="000B3C73" w:rsidRPr="00AD165E" w:rsidRDefault="000B3C73" w:rsidP="000B3C73">
            <w:pPr>
              <w:rPr>
                <w:rFonts w:ascii="Avenir-Book" w:hAnsi="Avenir-Book" w:cs="Arial"/>
                <w:b/>
                <w:bCs/>
                <w:lang w:eastAsia="es-MX"/>
              </w:rPr>
            </w:pPr>
          </w:p>
        </w:tc>
      </w:tr>
      <w:tr w:rsidR="000B3C73" w:rsidRPr="00AD165E" w:rsidTr="00DB14D6">
        <w:trPr>
          <w:trHeight w:val="454"/>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b/>
                <w:bCs/>
                <w:lang w:eastAsia="es-MX"/>
              </w:rPr>
            </w:pPr>
            <w:r w:rsidRPr="00AD165E">
              <w:rPr>
                <w:rFonts w:ascii="Avenir-Book" w:hAnsi="Avenir-Book" w:cs="Arial"/>
                <w:b/>
                <w:bCs/>
                <w:sz w:val="22"/>
                <w:szCs w:val="22"/>
                <w:lang w:eastAsia="es-MX"/>
              </w:rPr>
              <w:t>TOTAL</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533ECB">
            <w:pPr>
              <w:jc w:val="center"/>
              <w:rPr>
                <w:rFonts w:ascii="Avenir-Book" w:hAnsi="Avenir-Book" w:cs="Arial"/>
                <w:b/>
                <w:bCs/>
                <w:color w:val="000000"/>
              </w:rPr>
            </w:pPr>
            <w:r w:rsidRPr="00AD165E">
              <w:rPr>
                <w:rFonts w:ascii="Avenir-Book" w:hAnsi="Avenir-Book" w:cs="Arial"/>
                <w:b/>
                <w:bCs/>
                <w:color w:val="000000"/>
                <w:sz w:val="22"/>
                <w:szCs w:val="22"/>
              </w:rPr>
              <w:t>5,048,132,400.00</w:t>
            </w:r>
          </w:p>
        </w:tc>
      </w:tr>
      <w:tr w:rsidR="000B3C73" w:rsidRPr="00AD165E" w:rsidTr="00A3284A">
        <w:trPr>
          <w:trHeight w:val="423"/>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4842CA">
            <w:pPr>
              <w:jc w:val="center"/>
              <w:rPr>
                <w:rFonts w:ascii="Avenir-Book" w:hAnsi="Avenir-Book" w:cs="Arial"/>
                <w:b/>
                <w:bCs/>
                <w:lang w:eastAsia="es-MX"/>
              </w:rPr>
            </w:pPr>
            <w:r w:rsidRPr="00AD165E">
              <w:rPr>
                <w:rFonts w:ascii="Avenir-Book" w:hAnsi="Avenir-Book" w:cs="Arial"/>
                <w:b/>
                <w:bCs/>
                <w:sz w:val="22"/>
                <w:szCs w:val="22"/>
                <w:lang w:eastAsia="es-MX"/>
              </w:rPr>
              <w:t>1</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4842CA">
            <w:pPr>
              <w:jc w:val="center"/>
              <w:rPr>
                <w:rFonts w:ascii="Avenir-Book" w:hAnsi="Avenir-Book" w:cs="Arial"/>
                <w:b/>
                <w:bCs/>
                <w:highlight w:val="yellow"/>
                <w:lang w:eastAsia="es-MX"/>
              </w:rPr>
            </w:pPr>
            <w:r w:rsidRPr="00AD165E">
              <w:rPr>
                <w:rFonts w:ascii="Avenir-Book" w:hAnsi="Avenir-Book" w:cs="Arial"/>
                <w:b/>
                <w:bCs/>
                <w:sz w:val="22"/>
                <w:szCs w:val="22"/>
                <w:lang w:eastAsia="es-MX"/>
              </w:rPr>
              <w:t>Impuestos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DB14D6">
            <w:pPr>
              <w:jc w:val="right"/>
              <w:rPr>
                <w:rFonts w:ascii="Avenir-Book" w:hAnsi="Avenir-Book" w:cs="Arial"/>
                <w:b/>
                <w:color w:val="000000"/>
              </w:rPr>
            </w:pPr>
            <w:r w:rsidRPr="00AD165E">
              <w:rPr>
                <w:rFonts w:ascii="Avenir-Book" w:hAnsi="Avenir-Book" w:cs="Arial"/>
                <w:b/>
                <w:color w:val="000000"/>
                <w:sz w:val="22"/>
                <w:szCs w:val="22"/>
              </w:rPr>
              <w:t>1,062,117,659.00</w:t>
            </w:r>
          </w:p>
        </w:tc>
      </w:tr>
      <w:tr w:rsidR="000B3C73" w:rsidRPr="00AD165E" w:rsidTr="00A3284A">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1.1</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sobre los Ingresos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56,616,922.00</w:t>
            </w:r>
          </w:p>
        </w:tc>
      </w:tr>
      <w:tr w:rsidR="000B3C73" w:rsidRPr="00AD165E" w:rsidTr="00A3284A">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1.1.1</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Sobre Diversiones y Espectáculos Públicos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10,530,508.00</w:t>
            </w:r>
          </w:p>
        </w:tc>
      </w:tr>
      <w:tr w:rsidR="000B3C73" w:rsidRPr="00AD165E" w:rsidTr="003A16E7">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1.1.2</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Sobre Rifas, Loterías, Sorteos, Concursos y toda clase de juegos permitidos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46,086,414.00</w:t>
            </w:r>
          </w:p>
        </w:tc>
      </w:tr>
      <w:tr w:rsidR="000B3C73" w:rsidRPr="00AD165E" w:rsidTr="00256260">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1.2</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sobre el Patrimonio</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955,510,408.00</w:t>
            </w:r>
          </w:p>
        </w:tc>
      </w:tr>
      <w:tr w:rsidR="000B3C73" w:rsidRPr="00AD165E" w:rsidTr="004D0472">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1.2.1</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Predial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705,543,955.00</w:t>
            </w:r>
          </w:p>
        </w:tc>
      </w:tr>
      <w:tr w:rsidR="000B3C73" w:rsidRPr="00AD165E" w:rsidTr="00934D8B">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hideMark/>
          </w:tcPr>
          <w:p w:rsidR="000B3C73" w:rsidRPr="00AD165E" w:rsidRDefault="000B3C73" w:rsidP="00934D8B">
            <w:pPr>
              <w:jc w:val="center"/>
              <w:rPr>
                <w:rFonts w:ascii="Avenir-Book" w:hAnsi="Avenir-Book" w:cs="Arial"/>
                <w:lang w:eastAsia="es-MX"/>
              </w:rPr>
            </w:pPr>
          </w:p>
          <w:p w:rsidR="000B3C73" w:rsidRPr="00AD165E" w:rsidRDefault="000B3C73" w:rsidP="00934D8B">
            <w:pPr>
              <w:jc w:val="center"/>
              <w:rPr>
                <w:rFonts w:ascii="Avenir-Book" w:hAnsi="Avenir-Book" w:cs="Arial"/>
                <w:lang w:eastAsia="es-MX"/>
              </w:rPr>
            </w:pPr>
            <w:r w:rsidRPr="00AD165E">
              <w:rPr>
                <w:rFonts w:ascii="Avenir-Book" w:hAnsi="Avenir-Book" w:cs="Arial"/>
                <w:sz w:val="22"/>
                <w:szCs w:val="22"/>
                <w:lang w:eastAsia="es-MX"/>
              </w:rPr>
              <w:t>1.2.2</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Sobre Adquisición de Bienes Inmuebles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249,966,453.00</w:t>
            </w:r>
          </w:p>
        </w:tc>
      </w:tr>
      <w:tr w:rsidR="000B3C73" w:rsidRPr="00AD165E" w:rsidTr="00934D8B">
        <w:trPr>
          <w:trHeight w:val="225"/>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1.3</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sobre la producción, el consumo y las transacciones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934D8B">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1.4</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al Comercio Exterior</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1.5</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Sobre Nóminas y Asimilables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1.6</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Ecológicos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1.7</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Accesorios</w:t>
            </w:r>
          </w:p>
        </w:tc>
        <w:tc>
          <w:tcPr>
            <w:tcW w:w="1021"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49,990,329.00</w:t>
            </w:r>
          </w:p>
        </w:tc>
      </w:tr>
      <w:tr w:rsidR="000B3C73" w:rsidRPr="00AD165E" w:rsidTr="005A53CC">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1.7.1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Predial</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39,840,583.00</w:t>
            </w:r>
          </w:p>
        </w:tc>
      </w:tr>
      <w:tr w:rsidR="000B3C73" w:rsidRPr="00AD165E" w:rsidTr="005A53CC">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1.7.2</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Sobre Adquisición de Bienes Inmuebles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10,149,746.00</w:t>
            </w:r>
          </w:p>
        </w:tc>
      </w:tr>
      <w:tr w:rsidR="000B3C73" w:rsidRPr="00AD165E" w:rsidTr="005A53CC">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1.8</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Otros Impuestos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4842CA">
        <w:trPr>
          <w:trHeight w:val="6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1.9</w:t>
            </w:r>
          </w:p>
        </w:tc>
        <w:tc>
          <w:tcPr>
            <w:tcW w:w="3578" w:type="pct"/>
            <w:tcBorders>
              <w:top w:val="single" w:sz="4" w:space="0" w:color="auto"/>
              <w:left w:val="nil"/>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Impuestos no comprendidos en las  fracciones de la ley de Ingresos causadas en ejercicios fiscales anteriores pendientes de liquidación o pago.</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3C67E2">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b/>
                <w:bCs/>
                <w:lang w:eastAsia="es-MX"/>
              </w:rPr>
            </w:pPr>
            <w:r w:rsidRPr="00AD165E">
              <w:rPr>
                <w:rFonts w:ascii="Avenir-Book" w:hAnsi="Avenir-Book" w:cs="Arial"/>
                <w:b/>
                <w:bCs/>
                <w:sz w:val="22"/>
                <w:szCs w:val="22"/>
                <w:lang w:eastAsia="es-MX"/>
              </w:rPr>
              <w:t>2</w:t>
            </w:r>
          </w:p>
        </w:tc>
        <w:tc>
          <w:tcPr>
            <w:tcW w:w="3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C73" w:rsidRPr="00AD165E" w:rsidRDefault="000B3C73" w:rsidP="003C67E2">
            <w:pPr>
              <w:jc w:val="center"/>
              <w:rPr>
                <w:rFonts w:ascii="Avenir-Book" w:hAnsi="Avenir-Book" w:cs="Arial"/>
                <w:b/>
                <w:bCs/>
                <w:highlight w:val="yellow"/>
                <w:lang w:eastAsia="es-MX"/>
              </w:rPr>
            </w:pPr>
            <w:r w:rsidRPr="00AD165E">
              <w:rPr>
                <w:rFonts w:ascii="Avenir-Book" w:hAnsi="Avenir-Book"/>
                <w:b/>
                <w:bCs/>
                <w:color w:val="000000"/>
                <w:sz w:val="22"/>
                <w:szCs w:val="22"/>
              </w:rPr>
              <w:t>Cuotas y Aportaciones de Seguridad Social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3C67E2">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2.1</w:t>
            </w:r>
          </w:p>
        </w:tc>
        <w:tc>
          <w:tcPr>
            <w:tcW w:w="3578" w:type="pct"/>
            <w:tcBorders>
              <w:top w:val="single" w:sz="4" w:space="0" w:color="auto"/>
              <w:left w:val="nil"/>
              <w:bottom w:val="single" w:sz="4" w:space="0" w:color="auto"/>
              <w:right w:val="single" w:sz="4" w:space="0" w:color="auto"/>
            </w:tcBorders>
            <w:shd w:val="clear" w:color="auto" w:fill="auto"/>
            <w:vAlign w:val="center"/>
            <w:hideMark/>
          </w:tcPr>
          <w:p w:rsidR="000B3C73" w:rsidRPr="00AD165E" w:rsidRDefault="000B3C73" w:rsidP="003C67E2">
            <w:pPr>
              <w:jc w:val="center"/>
              <w:rPr>
                <w:rFonts w:ascii="Avenir-Book" w:hAnsi="Avenir-Book" w:cs="Arial"/>
                <w:highlight w:val="yellow"/>
                <w:lang w:eastAsia="es-MX"/>
              </w:rPr>
            </w:pPr>
            <w:r w:rsidRPr="00AD165E">
              <w:rPr>
                <w:rFonts w:ascii="Avenir-Book" w:hAnsi="Avenir-Book"/>
                <w:color w:val="000000"/>
                <w:sz w:val="22"/>
                <w:szCs w:val="22"/>
              </w:rPr>
              <w:t>Aportaciones para Fondos de Vivienda</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3C67E2">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2.2</w:t>
            </w:r>
          </w:p>
        </w:tc>
        <w:tc>
          <w:tcPr>
            <w:tcW w:w="3578" w:type="pct"/>
            <w:tcBorders>
              <w:top w:val="nil"/>
              <w:left w:val="nil"/>
              <w:bottom w:val="single" w:sz="4" w:space="0" w:color="auto"/>
              <w:right w:val="single" w:sz="4" w:space="0" w:color="auto"/>
            </w:tcBorders>
            <w:shd w:val="clear" w:color="auto" w:fill="auto"/>
            <w:vAlign w:val="center"/>
            <w:hideMark/>
          </w:tcPr>
          <w:p w:rsidR="000B3C73" w:rsidRPr="00AD165E" w:rsidRDefault="000B3C73" w:rsidP="003C67E2">
            <w:pPr>
              <w:jc w:val="center"/>
              <w:rPr>
                <w:rFonts w:ascii="Avenir-Book" w:hAnsi="Avenir-Book" w:cs="Arial"/>
                <w:highlight w:val="yellow"/>
                <w:lang w:eastAsia="es-MX"/>
              </w:rPr>
            </w:pPr>
            <w:r w:rsidRPr="00AD165E">
              <w:rPr>
                <w:rFonts w:ascii="Avenir-Book" w:hAnsi="Avenir-Book"/>
                <w:color w:val="000000"/>
                <w:sz w:val="22"/>
                <w:szCs w:val="22"/>
              </w:rPr>
              <w:t>Cuotas para el Seguro Social</w:t>
            </w:r>
          </w:p>
        </w:tc>
        <w:tc>
          <w:tcPr>
            <w:tcW w:w="1021"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3C67E2">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2.3</w:t>
            </w:r>
          </w:p>
        </w:tc>
        <w:tc>
          <w:tcPr>
            <w:tcW w:w="3578" w:type="pct"/>
            <w:tcBorders>
              <w:top w:val="nil"/>
              <w:left w:val="nil"/>
              <w:bottom w:val="single" w:sz="4" w:space="0" w:color="auto"/>
              <w:right w:val="single" w:sz="4" w:space="0" w:color="auto"/>
            </w:tcBorders>
            <w:shd w:val="clear" w:color="auto" w:fill="auto"/>
            <w:vAlign w:val="center"/>
            <w:hideMark/>
          </w:tcPr>
          <w:p w:rsidR="000B3C73" w:rsidRPr="00AD165E" w:rsidRDefault="000B3C73" w:rsidP="003C67E2">
            <w:pPr>
              <w:jc w:val="center"/>
              <w:rPr>
                <w:rFonts w:ascii="Avenir-Book" w:hAnsi="Avenir-Book" w:cs="Arial"/>
                <w:highlight w:val="yellow"/>
                <w:lang w:eastAsia="es-MX"/>
              </w:rPr>
            </w:pPr>
            <w:r w:rsidRPr="00AD165E">
              <w:rPr>
                <w:rFonts w:ascii="Avenir-Book" w:hAnsi="Avenir-Book"/>
                <w:color w:val="000000"/>
                <w:sz w:val="22"/>
                <w:szCs w:val="22"/>
              </w:rPr>
              <w:t>Cuotas de Ahorro para el Retiro</w:t>
            </w:r>
          </w:p>
        </w:tc>
        <w:tc>
          <w:tcPr>
            <w:tcW w:w="1021"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3C67E2">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2.4</w:t>
            </w:r>
          </w:p>
        </w:tc>
        <w:tc>
          <w:tcPr>
            <w:tcW w:w="3578" w:type="pct"/>
            <w:tcBorders>
              <w:top w:val="nil"/>
              <w:left w:val="nil"/>
              <w:bottom w:val="single" w:sz="4" w:space="0" w:color="auto"/>
              <w:right w:val="single" w:sz="4" w:space="0" w:color="auto"/>
            </w:tcBorders>
            <w:shd w:val="clear" w:color="auto" w:fill="auto"/>
            <w:vAlign w:val="center"/>
            <w:hideMark/>
          </w:tcPr>
          <w:p w:rsidR="000B3C73" w:rsidRPr="00AD165E" w:rsidRDefault="000B3C73" w:rsidP="003C67E2">
            <w:pPr>
              <w:jc w:val="center"/>
              <w:rPr>
                <w:rFonts w:ascii="Avenir-Book" w:hAnsi="Avenir-Book" w:cs="Arial"/>
                <w:highlight w:val="yellow"/>
                <w:lang w:eastAsia="es-MX"/>
              </w:rPr>
            </w:pPr>
            <w:r w:rsidRPr="00AD165E">
              <w:rPr>
                <w:rFonts w:ascii="Avenir-Book" w:hAnsi="Avenir-Book"/>
                <w:color w:val="000000"/>
                <w:sz w:val="22"/>
                <w:szCs w:val="22"/>
              </w:rPr>
              <w:t>Otras Cuotas y Aportaciones para la Seguridad Social</w:t>
            </w:r>
          </w:p>
        </w:tc>
        <w:tc>
          <w:tcPr>
            <w:tcW w:w="1021"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3C67E2">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2.5</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3C67E2">
            <w:pPr>
              <w:jc w:val="center"/>
              <w:rPr>
                <w:rFonts w:ascii="Avenir-Book" w:hAnsi="Avenir-Book" w:cs="Arial"/>
                <w:highlight w:val="yellow"/>
                <w:lang w:eastAsia="es-MX"/>
              </w:rPr>
            </w:pPr>
            <w:r w:rsidRPr="00AD165E">
              <w:rPr>
                <w:rFonts w:ascii="Avenir-Book" w:hAnsi="Avenir-Book"/>
                <w:color w:val="000000"/>
                <w:sz w:val="22"/>
                <w:szCs w:val="22"/>
              </w:rPr>
              <w:t>Accesorios</w:t>
            </w:r>
          </w:p>
        </w:tc>
        <w:tc>
          <w:tcPr>
            <w:tcW w:w="1021"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0B3C73">
            <w:pPr>
              <w:jc w:val="right"/>
              <w:rPr>
                <w:rFonts w:ascii="Avenir-Book" w:hAnsi="Avenir-Book" w:cs="Arial"/>
                <w:lang w:eastAsia="es-MX"/>
              </w:rPr>
            </w:pPr>
            <w:r w:rsidRPr="00AD165E">
              <w:rPr>
                <w:rFonts w:ascii="Avenir-Book" w:hAnsi="Avenir-Book"/>
                <w:b/>
                <w:bCs/>
                <w:color w:val="000000"/>
                <w:sz w:val="22"/>
                <w:szCs w:val="22"/>
              </w:rPr>
              <w:t xml:space="preserve">                                 -   </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3</w:t>
            </w:r>
          </w:p>
        </w:tc>
        <w:tc>
          <w:tcPr>
            <w:tcW w:w="3578"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b/>
                <w:bCs/>
                <w:color w:val="000000"/>
                <w:sz w:val="22"/>
                <w:szCs w:val="22"/>
              </w:rPr>
              <w:t>Contribuciones de Mejoras</w:t>
            </w:r>
          </w:p>
        </w:tc>
        <w:tc>
          <w:tcPr>
            <w:tcW w:w="1021" w:type="pct"/>
            <w:tcBorders>
              <w:top w:val="nil"/>
              <w:left w:val="nil"/>
              <w:bottom w:val="single" w:sz="4" w:space="0" w:color="auto"/>
              <w:right w:val="single" w:sz="4" w:space="0" w:color="auto"/>
            </w:tcBorders>
            <w:shd w:val="clear" w:color="auto" w:fill="auto"/>
            <w:noWrap/>
            <w:vAlign w:val="bottom"/>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2,064,151.00</w:t>
            </w:r>
          </w:p>
        </w:tc>
      </w:tr>
      <w:tr w:rsidR="000B3C73" w:rsidRPr="00AD165E" w:rsidTr="006813EB">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3.1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Contribuciones de Mejoras por obras Públicas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2,064,151.00</w:t>
            </w:r>
          </w:p>
        </w:tc>
      </w:tr>
      <w:tr w:rsidR="000B3C73" w:rsidRPr="00AD165E" w:rsidTr="006813EB">
        <w:trPr>
          <w:trHeight w:val="6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3.9</w:t>
            </w:r>
          </w:p>
        </w:tc>
        <w:tc>
          <w:tcPr>
            <w:tcW w:w="3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Contribuciones de Mejoras no comprendidas en las  fracciones de la ley de Ingresos causadas en ejercicios fiscales anteriores pendientes de liquidación o pago</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lang w:eastAsia="es-MX"/>
              </w:rPr>
            </w:pPr>
            <w:r w:rsidRPr="00AD165E">
              <w:rPr>
                <w:rFonts w:ascii="Avenir-Book" w:hAnsi="Avenir-Book"/>
                <w:b/>
                <w:bCs/>
                <w:color w:val="000000"/>
                <w:sz w:val="22"/>
                <w:szCs w:val="22"/>
              </w:rPr>
              <w:t>-</w:t>
            </w:r>
          </w:p>
        </w:tc>
      </w:tr>
      <w:tr w:rsidR="000B3C73" w:rsidRPr="00AD165E" w:rsidTr="006813EB">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lang w:eastAsia="es-MX"/>
              </w:rPr>
            </w:pPr>
            <w:r w:rsidRPr="00AD165E">
              <w:rPr>
                <w:rFonts w:ascii="Avenir-Book" w:hAnsi="Avenir-Book" w:cs="Arial"/>
                <w:b/>
                <w:bCs/>
                <w:sz w:val="22"/>
                <w:szCs w:val="22"/>
                <w:lang w:eastAsia="es-MX"/>
              </w:rPr>
              <w:t>4</w:t>
            </w:r>
          </w:p>
        </w:tc>
        <w:tc>
          <w:tcPr>
            <w:tcW w:w="3578" w:type="pct"/>
            <w:tcBorders>
              <w:top w:val="single" w:sz="4" w:space="0" w:color="auto"/>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b/>
                <w:bCs/>
                <w:color w:val="000000"/>
                <w:sz w:val="22"/>
                <w:szCs w:val="22"/>
              </w:rPr>
              <w:t>Derechos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547,870,597.00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por el uso, goce, aprovechamiento o explotación de bienes de dominio público</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26,031,371.00</w:t>
            </w:r>
          </w:p>
        </w:tc>
      </w:tr>
      <w:tr w:rsidR="000B3C73" w:rsidRPr="00AD165E" w:rsidTr="00A3284A">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4.1.1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ocupación de espacios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26,031,371.00</w:t>
            </w:r>
          </w:p>
        </w:tc>
      </w:tr>
      <w:tr w:rsidR="000B3C73" w:rsidRPr="00AD165E" w:rsidTr="00A3284A">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4.2</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a los Hidrocarburos (Derogado)</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A3284A">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por prestación de servicios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297,853,303.00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Servicios de Alumbrado Público</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142,973,053.00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4.3.2</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por servicios prestados por la Secretaria de Infraestructura y Servicios Públicos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29,993.00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4.3.3</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por servicios en panteones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7,864,322.00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4.3.4</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 de recolección, transporte y disposición final de desechos sólidos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131,411,604.00</w:t>
            </w:r>
          </w:p>
        </w:tc>
      </w:tr>
      <w:tr w:rsidR="000B3C73" w:rsidRPr="00AD165E" w:rsidTr="003A16E7">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4.3.5</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Servicios de centros antirrábicos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455,800.00</w:t>
            </w:r>
          </w:p>
        </w:tc>
      </w:tr>
      <w:tr w:rsidR="000B3C73" w:rsidRPr="00AD165E" w:rsidTr="003A16E7">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4.3.6</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Servicios prestados por la Tesorería</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9,183,201.00</w:t>
            </w:r>
          </w:p>
        </w:tc>
      </w:tr>
      <w:tr w:rsidR="000B3C73" w:rsidRPr="00AD165E" w:rsidTr="003A16E7">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lang w:eastAsia="es-MX"/>
              </w:rPr>
            </w:pPr>
            <w:r w:rsidRPr="00AD165E">
              <w:rPr>
                <w:rFonts w:ascii="Avenir-Book" w:hAnsi="Avenir-Book" w:cs="Arial"/>
                <w:sz w:val="22"/>
                <w:szCs w:val="22"/>
                <w:lang w:eastAsia="es-MX"/>
              </w:rPr>
              <w:t>4.</w:t>
            </w:r>
            <w:r w:rsidR="003C67E2" w:rsidRPr="00AD165E">
              <w:rPr>
                <w:rFonts w:ascii="Avenir-Book" w:hAnsi="Avenir-Book" w:cs="Arial"/>
                <w:sz w:val="22"/>
                <w:szCs w:val="22"/>
                <w:lang w:eastAsia="es-MX"/>
              </w:rPr>
              <w:t>3.7</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Servicios prestados por la Contraloría</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5,935,330.00</w:t>
            </w:r>
          </w:p>
        </w:tc>
      </w:tr>
      <w:tr w:rsidR="000B3C73" w:rsidRPr="00AD165E" w:rsidTr="00256260">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4.4</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Otros Derechos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195,660,053.00</w:t>
            </w:r>
          </w:p>
        </w:tc>
      </w:tr>
      <w:tr w:rsidR="000B3C73" w:rsidRPr="00AD165E" w:rsidTr="00256260">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4.4.1</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Otorgamiento de Licencias y Refrendos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49,033,562.00</w:t>
            </w:r>
          </w:p>
        </w:tc>
      </w:tr>
      <w:tr w:rsidR="000B3C73" w:rsidRPr="00AD165E" w:rsidTr="005A53CC">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4.4.2</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Obras Materiales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116,389,775.00</w:t>
            </w:r>
          </w:p>
        </w:tc>
      </w:tr>
      <w:tr w:rsidR="000B3C73" w:rsidRPr="00AD165E" w:rsidTr="005A53CC">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4.4.3</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certificados y constancias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10,843,429.00</w:t>
            </w:r>
          </w:p>
        </w:tc>
      </w:tr>
      <w:tr w:rsidR="000B3C73" w:rsidRPr="00AD165E" w:rsidTr="005A53CC">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4..4.4</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anuncios y refrendos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19,393,287.00</w:t>
            </w:r>
          </w:p>
        </w:tc>
      </w:tr>
      <w:tr w:rsidR="000B3C73" w:rsidRPr="00AD165E" w:rsidTr="004D0472">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Accesorios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28,325,870.00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Servicio de recolección, transporte y disposición final de desechos sólidos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6,049,204.00</w:t>
            </w:r>
          </w:p>
        </w:tc>
      </w:tr>
      <w:tr w:rsidR="000B3C73" w:rsidRPr="00AD165E" w:rsidTr="000B3C73">
        <w:trPr>
          <w:trHeight w:val="6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4..5.2</w:t>
            </w:r>
          </w:p>
        </w:tc>
        <w:tc>
          <w:tcPr>
            <w:tcW w:w="3578" w:type="pct"/>
            <w:tcBorders>
              <w:top w:val="nil"/>
              <w:left w:val="nil"/>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Multa Giro Comercial</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2,398,474.00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3C67E2" w:rsidP="000B3C73">
            <w:pPr>
              <w:jc w:val="center"/>
              <w:rPr>
                <w:rFonts w:ascii="Avenir-Book" w:hAnsi="Avenir-Book" w:cs="Arial"/>
                <w:bCs/>
                <w:lang w:eastAsia="es-MX"/>
              </w:rPr>
            </w:pPr>
            <w:r w:rsidRPr="00AD165E">
              <w:rPr>
                <w:rFonts w:ascii="Avenir-Book" w:hAnsi="Avenir-Book" w:cs="Arial"/>
                <w:bCs/>
                <w:sz w:val="22"/>
                <w:szCs w:val="22"/>
                <w:lang w:eastAsia="es-MX"/>
              </w:rPr>
              <w:t>4.5.3</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Multa SDUS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1,137,732.00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4.5.4</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 xml:space="preserve">Multa </w:t>
            </w:r>
            <w:r w:rsidR="00B30B5C" w:rsidRPr="00AD165E">
              <w:rPr>
                <w:rFonts w:ascii="Avenir-Book" w:hAnsi="Avenir-Book"/>
                <w:color w:val="000000"/>
                <w:sz w:val="22"/>
                <w:szCs w:val="22"/>
              </w:rPr>
              <w:t>Vía</w:t>
            </w:r>
            <w:r w:rsidRPr="00AD165E">
              <w:rPr>
                <w:rFonts w:ascii="Avenir-Book" w:hAnsi="Avenir-Book"/>
                <w:color w:val="000000"/>
                <w:sz w:val="22"/>
                <w:szCs w:val="22"/>
              </w:rPr>
              <w:t xml:space="preserve"> Pública</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241,017.00</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4.5.5</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Multa Anuncios Publicitarios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48,457.00</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4.5.6</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Multa Contaminación Ambiental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1,178,714.00</w:t>
            </w:r>
          </w:p>
        </w:tc>
      </w:tr>
      <w:tr w:rsidR="000B3C73" w:rsidRPr="00AD165E" w:rsidTr="00C616A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4.5.7</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Multa Unidad Normatividad Comercial</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14,798,878.00</w:t>
            </w:r>
          </w:p>
        </w:tc>
      </w:tr>
      <w:tr w:rsidR="000B3C73" w:rsidRPr="00AD165E" w:rsidTr="00C616A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4.5.8</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Multa Protección Civil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1,208,078.00</w:t>
            </w:r>
          </w:p>
        </w:tc>
      </w:tr>
      <w:tr w:rsidR="000B3C73" w:rsidRPr="00AD165E" w:rsidTr="00C616A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4.5.9</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Otros créditos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934D8B" w:rsidP="004842CA">
            <w:pPr>
              <w:jc w:val="right"/>
              <w:rPr>
                <w:rFonts w:ascii="Avenir-Book" w:hAnsi="Avenir-Book" w:cs="Arial"/>
                <w:highlight w:val="yellow"/>
                <w:lang w:eastAsia="es-MX"/>
              </w:rPr>
            </w:pPr>
            <w:r w:rsidRPr="00AD165E">
              <w:rPr>
                <w:rFonts w:ascii="Avenir-Book" w:hAnsi="Avenir-Book"/>
                <w:color w:val="000000"/>
                <w:sz w:val="22"/>
                <w:szCs w:val="22"/>
              </w:rPr>
              <w:t>1,265,316.00</w:t>
            </w:r>
          </w:p>
        </w:tc>
      </w:tr>
      <w:tr w:rsidR="000B3C73" w:rsidRPr="00AD165E" w:rsidTr="004842CA">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4.9</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Derechos no comprendidos en las fracciones de la Ley de Ingresos causadas en ejercicios fiscales anteriores pendiente de liquidación o pagos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w:t>
            </w:r>
          </w:p>
        </w:tc>
      </w:tr>
      <w:tr w:rsidR="000B3C73" w:rsidRPr="00AD165E" w:rsidTr="004842CA">
        <w:trPr>
          <w:trHeight w:val="6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w:t>
            </w:r>
          </w:p>
        </w:tc>
        <w:tc>
          <w:tcPr>
            <w:tcW w:w="3578" w:type="pct"/>
            <w:tcBorders>
              <w:top w:val="single" w:sz="4" w:space="0" w:color="auto"/>
              <w:left w:val="nil"/>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b/>
                <w:bCs/>
                <w:color w:val="000000"/>
                <w:sz w:val="22"/>
                <w:szCs w:val="22"/>
              </w:rPr>
              <w:t>Productos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29,830,636.00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0B7A0F" w:rsidP="000B3C73">
            <w:pPr>
              <w:jc w:val="center"/>
              <w:rPr>
                <w:rFonts w:ascii="Avenir-Book" w:hAnsi="Avenir-Book" w:cs="Arial"/>
                <w:bCs/>
                <w:lang w:eastAsia="es-MX"/>
              </w:rPr>
            </w:pPr>
            <w:r w:rsidRPr="00AD165E">
              <w:rPr>
                <w:rFonts w:ascii="Avenir-Book" w:hAnsi="Avenir-Book" w:cs="Arial"/>
                <w:bCs/>
                <w:sz w:val="22"/>
                <w:szCs w:val="22"/>
                <w:lang w:eastAsia="es-MX"/>
              </w:rPr>
              <w:t>5</w:t>
            </w:r>
            <w:r w:rsidR="000B3C73" w:rsidRPr="00AD165E">
              <w:rPr>
                <w:rFonts w:ascii="Avenir-Book" w:hAnsi="Avenir-Book" w:cs="Arial"/>
                <w:bCs/>
                <w:sz w:val="22"/>
                <w:szCs w:val="22"/>
                <w:lang w:eastAsia="es-MX"/>
              </w:rPr>
              <w:t>.1</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Productos de tipo corriente</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29,830,636.00</w:t>
            </w:r>
          </w:p>
        </w:tc>
      </w:tr>
      <w:tr w:rsidR="000B3C73" w:rsidRPr="00AD165E" w:rsidTr="006813EB">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5.1.1</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venta de información del sistema geográfico</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995,607.00</w:t>
            </w:r>
          </w:p>
        </w:tc>
      </w:tr>
      <w:tr w:rsidR="000B3C73" w:rsidRPr="00AD165E" w:rsidTr="006813E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5.1.2</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exámenes y venta de formas oficiales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3,236,000.00</w:t>
            </w:r>
          </w:p>
        </w:tc>
      </w:tr>
      <w:tr w:rsidR="000B3C73" w:rsidRPr="00AD165E" w:rsidTr="006813E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5.1.3</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Por impartición de cursos y/o talleres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438,554.00</w:t>
            </w:r>
          </w:p>
        </w:tc>
      </w:tr>
      <w:tr w:rsidR="000B3C73" w:rsidRPr="00AD165E" w:rsidTr="00D40995">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5.1.4</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Otros productos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12,584,465.00</w:t>
            </w:r>
          </w:p>
        </w:tc>
      </w:tr>
      <w:tr w:rsidR="000B3C73" w:rsidRPr="00AD165E" w:rsidTr="00606F00">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5.1.5</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Intereses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12,576,010.00</w:t>
            </w:r>
          </w:p>
        </w:tc>
      </w:tr>
      <w:tr w:rsidR="000B3C73" w:rsidRPr="00AD165E" w:rsidTr="00606F00">
        <w:trPr>
          <w:trHeight w:val="6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7A0F" w:rsidP="000B3C73">
            <w:pPr>
              <w:jc w:val="center"/>
              <w:rPr>
                <w:rFonts w:ascii="Avenir-Book" w:hAnsi="Avenir-Book" w:cs="Arial"/>
                <w:lang w:eastAsia="es-MX"/>
              </w:rPr>
            </w:pPr>
            <w:r w:rsidRPr="00AD165E">
              <w:rPr>
                <w:rFonts w:ascii="Avenir-Book" w:hAnsi="Avenir-Book" w:cs="Arial"/>
                <w:sz w:val="22"/>
                <w:szCs w:val="22"/>
                <w:lang w:eastAsia="es-MX"/>
              </w:rPr>
              <w:t>5.2</w:t>
            </w:r>
          </w:p>
        </w:tc>
        <w:tc>
          <w:tcPr>
            <w:tcW w:w="35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Productos de capital</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w:t>
            </w:r>
          </w:p>
        </w:tc>
      </w:tr>
      <w:tr w:rsidR="000B3C73" w:rsidRPr="00AD165E" w:rsidTr="00606F00">
        <w:trPr>
          <w:trHeight w:val="300"/>
        </w:trPr>
        <w:tc>
          <w:tcPr>
            <w:tcW w:w="4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B3C73" w:rsidRPr="00AD165E" w:rsidRDefault="000B7A0F" w:rsidP="000B3C73">
            <w:pPr>
              <w:jc w:val="center"/>
              <w:rPr>
                <w:rFonts w:ascii="Avenir-Book" w:hAnsi="Avenir-Book" w:cs="Arial"/>
                <w:bCs/>
                <w:lang w:eastAsia="es-MX"/>
              </w:rPr>
            </w:pPr>
            <w:r w:rsidRPr="00AD165E">
              <w:rPr>
                <w:rFonts w:ascii="Avenir-Book" w:hAnsi="Avenir-Book" w:cs="Arial"/>
                <w:bCs/>
                <w:sz w:val="22"/>
                <w:szCs w:val="22"/>
                <w:lang w:eastAsia="es-MX"/>
              </w:rPr>
              <w:t>5.9</w:t>
            </w:r>
          </w:p>
        </w:tc>
        <w:tc>
          <w:tcPr>
            <w:tcW w:w="3578" w:type="pct"/>
            <w:tcBorders>
              <w:top w:val="single" w:sz="4" w:space="0" w:color="auto"/>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Productos no comprendidos en las fracciones de la Ley de Ingresos causadas en ejercicios fiscales anteriores pendiente de liquidación o pago</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w:t>
            </w:r>
          </w:p>
        </w:tc>
      </w:tr>
      <w:tr w:rsidR="000B3C73" w:rsidRPr="00AD165E" w:rsidTr="003247D6">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6</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b/>
                <w:bCs/>
                <w:color w:val="000000"/>
                <w:sz w:val="22"/>
                <w:szCs w:val="22"/>
              </w:rPr>
              <w:t>Aprovechamientos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128,023,373.00</w:t>
            </w:r>
          </w:p>
        </w:tc>
      </w:tr>
      <w:tr w:rsidR="000B3C73" w:rsidRPr="00AD165E" w:rsidTr="003247D6">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6.1</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Aprovechamientos de tipo corriente</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128,023,373.00</w:t>
            </w:r>
          </w:p>
        </w:tc>
      </w:tr>
      <w:tr w:rsidR="000B3C73" w:rsidRPr="00AD165E" w:rsidTr="000B3C73">
        <w:trPr>
          <w:trHeight w:val="6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6.1.1</w:t>
            </w:r>
          </w:p>
        </w:tc>
        <w:tc>
          <w:tcPr>
            <w:tcW w:w="3578" w:type="pct"/>
            <w:tcBorders>
              <w:top w:val="nil"/>
              <w:left w:val="nil"/>
              <w:bottom w:val="single" w:sz="4" w:space="0" w:color="auto"/>
              <w:right w:val="single" w:sz="4" w:space="0" w:color="auto"/>
            </w:tcBorders>
            <w:shd w:val="clear" w:color="auto" w:fill="auto"/>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Sanciones multas municipales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color w:val="000000"/>
                <w:sz w:val="22"/>
                <w:szCs w:val="22"/>
              </w:rPr>
              <w:t>126,746,967.00</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000000" w:fill="FFFFFF"/>
            <w:noWrap/>
            <w:vAlign w:val="center"/>
            <w:hideMark/>
          </w:tcPr>
          <w:p w:rsidR="000B3C73" w:rsidRPr="00AD165E" w:rsidRDefault="00934D8B" w:rsidP="000B3C73">
            <w:pPr>
              <w:jc w:val="center"/>
              <w:rPr>
                <w:rFonts w:ascii="Avenir-Book" w:hAnsi="Avenir-Book" w:cs="Arial"/>
                <w:bCs/>
                <w:lang w:eastAsia="es-MX"/>
              </w:rPr>
            </w:pPr>
            <w:r w:rsidRPr="00AD165E">
              <w:rPr>
                <w:rFonts w:ascii="Avenir-Book" w:hAnsi="Avenir-Book" w:cs="Arial"/>
                <w:bCs/>
                <w:sz w:val="22"/>
                <w:szCs w:val="22"/>
                <w:lang w:eastAsia="es-MX"/>
              </w:rPr>
              <w:t>6.1.2</w:t>
            </w:r>
          </w:p>
        </w:tc>
        <w:tc>
          <w:tcPr>
            <w:tcW w:w="3578" w:type="pct"/>
            <w:tcBorders>
              <w:top w:val="nil"/>
              <w:left w:val="nil"/>
              <w:bottom w:val="single" w:sz="4" w:space="0" w:color="auto"/>
              <w:right w:val="single" w:sz="4" w:space="0" w:color="auto"/>
            </w:tcBorders>
            <w:shd w:val="clear" w:color="000000" w:fill="FFFFFF"/>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Reintegros e Indemnizaciones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b/>
                <w:bCs/>
                <w:highlight w:val="yellow"/>
                <w:lang w:eastAsia="es-MX"/>
              </w:rPr>
            </w:pPr>
            <w:r w:rsidRPr="00AD165E">
              <w:rPr>
                <w:rFonts w:ascii="Avenir-Book" w:hAnsi="Avenir-Book"/>
                <w:color w:val="000000"/>
                <w:sz w:val="22"/>
                <w:szCs w:val="22"/>
              </w:rPr>
              <w:t>1,079,116.00</w:t>
            </w:r>
          </w:p>
        </w:tc>
      </w:tr>
      <w:tr w:rsidR="000B3C73" w:rsidRPr="00AD165E" w:rsidTr="003A16E7">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6.2</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Aprovechamientos Patrimoniales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919E2" w:rsidP="004842CA">
            <w:pPr>
              <w:jc w:val="right"/>
              <w:rPr>
                <w:rFonts w:ascii="Avenir-Book" w:hAnsi="Avenir-Book" w:cs="Arial"/>
                <w:highlight w:val="yellow"/>
                <w:lang w:eastAsia="es-MX"/>
              </w:rPr>
            </w:pPr>
            <w:r w:rsidRPr="00AD165E">
              <w:rPr>
                <w:rFonts w:ascii="Avenir-Book" w:hAnsi="Avenir-Book"/>
                <w:bCs/>
                <w:color w:val="000000"/>
                <w:sz w:val="22"/>
                <w:szCs w:val="22"/>
              </w:rPr>
              <w:t>197,290.00</w:t>
            </w:r>
          </w:p>
        </w:tc>
      </w:tr>
      <w:tr w:rsidR="000B3C73" w:rsidRPr="00AD165E" w:rsidTr="003A16E7">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6.3</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Accesorios de Aprovechamientos</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256260">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bCs/>
                <w:lang w:eastAsia="es-MX"/>
              </w:rPr>
            </w:pPr>
            <w:r w:rsidRPr="00AD165E">
              <w:rPr>
                <w:rFonts w:ascii="Avenir-Book" w:hAnsi="Avenir-Book" w:cs="Arial"/>
                <w:bCs/>
                <w:sz w:val="22"/>
                <w:szCs w:val="22"/>
                <w:lang w:eastAsia="es-MX"/>
              </w:rPr>
              <w:t>6.9</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Aprovechamientos no comprendidos en las fracciones de la Ley de Ingresos causadas en Ejercicios Fiscales Anteriores Pendiente de Liquidación  o Pago</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256260">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b/>
                <w:lang w:eastAsia="es-MX"/>
              </w:rPr>
            </w:pPr>
            <w:r w:rsidRPr="00AD165E">
              <w:rPr>
                <w:rFonts w:ascii="Avenir-Book" w:hAnsi="Avenir-Book" w:cs="Arial"/>
                <w:b/>
                <w:sz w:val="22"/>
                <w:szCs w:val="22"/>
                <w:lang w:eastAsia="es-MX"/>
              </w:rPr>
              <w:t>7</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b/>
                <w:bCs/>
                <w:color w:val="000000"/>
                <w:sz w:val="22"/>
                <w:szCs w:val="22"/>
              </w:rPr>
              <w:t>Ingresos por Venta de bienes y servicios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256260">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.1</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ventas de bienes y Prestación de servicios de Instituciones Públicas de Seguridad Social</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.2</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Empresas Productivas del Estado</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.3</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Entidades Paraestatales y Fideicomisos No Empresariales y No Financieros</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.4</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Entidades Paraestatales Empresariales No Financieras con Participación Estatal Mayoritaria</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934D8B"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.5</w:t>
            </w:r>
          </w:p>
        </w:tc>
        <w:tc>
          <w:tcPr>
            <w:tcW w:w="3578"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Entidades Paraestatales Empresariales Financieras Monetarias con Participación Estatal Mayoritaria</w:t>
            </w:r>
          </w:p>
        </w:tc>
        <w:tc>
          <w:tcPr>
            <w:tcW w:w="1021" w:type="pct"/>
            <w:tcBorders>
              <w:top w:val="single" w:sz="4" w:space="0" w:color="auto"/>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C616AB">
        <w:trPr>
          <w:trHeight w:val="300"/>
        </w:trPr>
        <w:tc>
          <w:tcPr>
            <w:tcW w:w="401" w:type="pct"/>
            <w:tcBorders>
              <w:top w:val="nil"/>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bCs/>
                <w:lang w:eastAsia="es-MX"/>
              </w:rPr>
            </w:pPr>
            <w:r w:rsidRPr="00AD165E">
              <w:rPr>
                <w:rFonts w:ascii="Avenir-Book" w:hAnsi="Avenir-Book" w:cs="Arial"/>
                <w:bCs/>
                <w:sz w:val="22"/>
                <w:szCs w:val="22"/>
                <w:lang w:eastAsia="es-MX"/>
              </w:rPr>
              <w:t>7</w:t>
            </w:r>
            <w:r w:rsidR="000B3C73" w:rsidRPr="00AD165E">
              <w:rPr>
                <w:rFonts w:ascii="Avenir-Book" w:hAnsi="Avenir-Book" w:cs="Arial"/>
                <w:bCs/>
                <w:sz w:val="22"/>
                <w:szCs w:val="22"/>
                <w:lang w:eastAsia="es-MX"/>
              </w:rPr>
              <w:t>.6</w:t>
            </w:r>
          </w:p>
        </w:tc>
        <w:tc>
          <w:tcPr>
            <w:tcW w:w="3578"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b/>
                <w:bCs/>
                <w:highlight w:val="yellow"/>
                <w:lang w:eastAsia="es-MX"/>
              </w:rPr>
            </w:pPr>
            <w:r w:rsidRPr="00AD165E">
              <w:rPr>
                <w:rFonts w:ascii="Avenir-Book" w:hAnsi="Avenir-Book"/>
                <w:color w:val="000000"/>
                <w:sz w:val="22"/>
                <w:szCs w:val="22"/>
              </w:rPr>
              <w:t>Ingresos por Venta de Bienes y Prestación de Servicios de Entidades Paraestatales Empresariales Financieras No Monetarias con Participación Estatal Mayoritaria</w:t>
            </w:r>
          </w:p>
        </w:tc>
        <w:tc>
          <w:tcPr>
            <w:tcW w:w="1021" w:type="pct"/>
            <w:tcBorders>
              <w:top w:val="nil"/>
              <w:left w:val="nil"/>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C616A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.7</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Fideicomisos Financieros Públicos con  Participación Estatal Mayoritaria</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C616AB">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.8</w:t>
            </w:r>
          </w:p>
        </w:tc>
        <w:tc>
          <w:tcPr>
            <w:tcW w:w="3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0B3C73">
            <w:pPr>
              <w:jc w:val="center"/>
              <w:rPr>
                <w:rFonts w:ascii="Avenir-Book" w:hAnsi="Avenir-Book" w:cs="Arial"/>
                <w:highlight w:val="yellow"/>
                <w:lang w:eastAsia="es-MX"/>
              </w:rPr>
            </w:pPr>
            <w:r w:rsidRPr="00AD165E">
              <w:rPr>
                <w:rFonts w:ascii="Avenir-Book" w:hAnsi="Avenir-Book"/>
                <w:color w:val="000000"/>
                <w:sz w:val="22"/>
                <w:szCs w:val="22"/>
              </w:rPr>
              <w:t>Ingresos por Venta de Bienes y Prestación de Servicios de los Poderes Legislativo y Judicial y de los Órganos Autónomos</w:t>
            </w:r>
          </w:p>
        </w:tc>
        <w:tc>
          <w:tcPr>
            <w:tcW w:w="10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3C73" w:rsidRPr="00AD165E" w:rsidRDefault="000B3C73" w:rsidP="004842CA">
            <w:pPr>
              <w:jc w:val="right"/>
              <w:rPr>
                <w:rFonts w:ascii="Avenir-Book" w:hAnsi="Avenir-Book" w:cs="Arial"/>
                <w:highlight w:val="yellow"/>
                <w:lang w:eastAsia="es-MX"/>
              </w:rPr>
            </w:pPr>
            <w:r w:rsidRPr="00AD165E">
              <w:rPr>
                <w:rFonts w:ascii="Avenir-Book" w:hAnsi="Avenir-Book"/>
                <w:b/>
                <w:bCs/>
                <w:color w:val="000000"/>
                <w:sz w:val="22"/>
                <w:szCs w:val="22"/>
              </w:rPr>
              <w:t>-</w:t>
            </w:r>
          </w:p>
        </w:tc>
      </w:tr>
      <w:tr w:rsidR="000B3C73" w:rsidRPr="00AD165E" w:rsidTr="004842CA">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7</w:t>
            </w:r>
            <w:r w:rsidR="000B3C73" w:rsidRPr="00AD165E">
              <w:rPr>
                <w:rFonts w:ascii="Avenir-Book" w:hAnsi="Avenir-Book" w:cs="Arial"/>
                <w:sz w:val="22"/>
                <w:szCs w:val="22"/>
                <w:lang w:eastAsia="es-MX"/>
              </w:rPr>
              <w:t>.9</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Otros Ingresos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b/>
                <w:lang w:eastAsia="es-MX"/>
              </w:rPr>
            </w:pPr>
            <w:r w:rsidRPr="00AD165E">
              <w:rPr>
                <w:rFonts w:ascii="Avenir-Book" w:hAnsi="Avenir-Book" w:cs="Arial"/>
                <w:b/>
                <w:sz w:val="22"/>
                <w:szCs w:val="22"/>
                <w:lang w:eastAsia="es-MX"/>
              </w:rPr>
              <w:t>8</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b/>
                <w:bCs/>
                <w:color w:val="000000"/>
                <w:sz w:val="22"/>
                <w:szCs w:val="22"/>
              </w:rPr>
              <w:t>Participaciones y Aportaciones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color w:val="000000"/>
                <w:sz w:val="22"/>
                <w:szCs w:val="22"/>
              </w:rPr>
              <w:t>3,278,225,984.00</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8</w:t>
            </w:r>
            <w:r w:rsidR="000B3C73" w:rsidRPr="00AD165E">
              <w:rPr>
                <w:rFonts w:ascii="Avenir-Book" w:hAnsi="Avenir-Book" w:cs="Arial"/>
                <w:sz w:val="22"/>
                <w:szCs w:val="22"/>
                <w:lang w:eastAsia="es-MX"/>
              </w:rPr>
              <w:t>.1</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Participaciones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color w:val="000000"/>
                <w:sz w:val="22"/>
                <w:szCs w:val="22"/>
              </w:rPr>
              <w:t>2,000,848,358.00</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8</w:t>
            </w:r>
            <w:r w:rsidR="000B3C73" w:rsidRPr="00AD165E">
              <w:rPr>
                <w:rFonts w:ascii="Avenir-Book" w:hAnsi="Avenir-Book" w:cs="Arial"/>
                <w:sz w:val="22"/>
                <w:szCs w:val="22"/>
                <w:lang w:eastAsia="es-MX"/>
              </w:rPr>
              <w:t>.2</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Aportaciones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color w:val="000000"/>
                <w:sz w:val="22"/>
                <w:szCs w:val="22"/>
              </w:rPr>
              <w:t>1,277,377,626.00</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8</w:t>
            </w:r>
            <w:r w:rsidR="000B3C73" w:rsidRPr="00AD165E">
              <w:rPr>
                <w:rFonts w:ascii="Avenir-Book" w:hAnsi="Avenir-Book" w:cs="Arial"/>
                <w:sz w:val="22"/>
                <w:szCs w:val="22"/>
                <w:lang w:eastAsia="es-MX"/>
              </w:rPr>
              <w:t>.3</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Convenios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8</w:t>
            </w:r>
            <w:r w:rsidR="000B3C73" w:rsidRPr="00AD165E">
              <w:rPr>
                <w:rFonts w:ascii="Avenir-Book" w:hAnsi="Avenir-Book" w:cs="Arial"/>
                <w:sz w:val="22"/>
                <w:szCs w:val="22"/>
                <w:lang w:eastAsia="es-MX"/>
              </w:rPr>
              <w:t>.4</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Incentivos Derivados de la Colaboración Fiscal</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8</w:t>
            </w:r>
            <w:r w:rsidR="000B3C73" w:rsidRPr="00AD165E">
              <w:rPr>
                <w:rFonts w:ascii="Avenir-Book" w:hAnsi="Avenir-Book" w:cs="Arial"/>
                <w:sz w:val="22"/>
                <w:szCs w:val="22"/>
                <w:lang w:eastAsia="es-MX"/>
              </w:rPr>
              <w:t>.5</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Fondos Distintos de Aportaciones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b/>
                <w:lang w:eastAsia="es-MX"/>
              </w:rPr>
            </w:pPr>
            <w:r w:rsidRPr="00AD165E">
              <w:rPr>
                <w:rFonts w:ascii="Avenir-Book" w:hAnsi="Avenir-Book" w:cs="Arial"/>
                <w:b/>
                <w:sz w:val="22"/>
                <w:szCs w:val="22"/>
                <w:lang w:eastAsia="es-MX"/>
              </w:rPr>
              <w:t>9</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b/>
                <w:bCs/>
                <w:color w:val="000000"/>
                <w:sz w:val="22"/>
                <w:szCs w:val="22"/>
              </w:rPr>
              <w:t>Transferencias, Asignaciones, Subsidios y Otras Ayudas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.1</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Transferencias y Asignaciones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.2</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Transferencias al Resto del Sector Público (Derogado)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.3</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Subsidios y Subvenciones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.4</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Ayudas sociales (Derogado)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.5</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Pensiones y Jubilaciones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.6</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Transferencias a Fideicomisos, Mandatos y Análogos (Derogado)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9</w:t>
            </w:r>
            <w:r w:rsidR="000B3C73" w:rsidRPr="00AD165E">
              <w:rPr>
                <w:rFonts w:ascii="Avenir-Book" w:hAnsi="Avenir-Book" w:cs="Arial"/>
                <w:sz w:val="22"/>
                <w:szCs w:val="22"/>
                <w:lang w:eastAsia="es-MX"/>
              </w:rPr>
              <w:t>.7</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 xml:space="preserve">Transferencias del Fondo Mexicano del </w:t>
            </w:r>
            <w:r w:rsidR="00B30B5C" w:rsidRPr="00AD165E">
              <w:rPr>
                <w:rFonts w:ascii="Avenir-Book" w:hAnsi="Avenir-Book"/>
                <w:color w:val="000000"/>
                <w:sz w:val="22"/>
                <w:szCs w:val="22"/>
              </w:rPr>
              <w:t>Petróleo</w:t>
            </w:r>
            <w:r w:rsidRPr="00AD165E">
              <w:rPr>
                <w:rFonts w:ascii="Avenir-Book" w:hAnsi="Avenir-Book"/>
                <w:color w:val="000000"/>
                <w:sz w:val="22"/>
                <w:szCs w:val="22"/>
              </w:rPr>
              <w:t xml:space="preserve"> para la Estabilización y el Desarrollo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b/>
                <w:lang w:eastAsia="es-MX"/>
              </w:rPr>
            </w:pPr>
            <w:r w:rsidRPr="00AD165E">
              <w:rPr>
                <w:rFonts w:ascii="Avenir-Book" w:hAnsi="Avenir-Book" w:cs="Arial"/>
                <w:b/>
                <w:sz w:val="22"/>
                <w:szCs w:val="22"/>
                <w:lang w:eastAsia="es-MX"/>
              </w:rPr>
              <w:t>0</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b/>
                <w:bCs/>
                <w:color w:val="000000"/>
                <w:sz w:val="22"/>
                <w:szCs w:val="22"/>
              </w:rPr>
              <w:t>Ingresos Derivados de Financiamientos</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0</w:t>
            </w:r>
            <w:r w:rsidR="000B3C73" w:rsidRPr="00AD165E">
              <w:rPr>
                <w:rFonts w:ascii="Avenir-Book" w:hAnsi="Avenir-Book" w:cs="Arial"/>
                <w:sz w:val="22"/>
                <w:szCs w:val="22"/>
                <w:lang w:eastAsia="es-MX"/>
              </w:rPr>
              <w:t>.1</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Endeudamiento interno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lang w:eastAsia="es-MX"/>
              </w:rPr>
            </w:pPr>
            <w:r w:rsidRPr="00AD165E">
              <w:rPr>
                <w:rFonts w:ascii="Avenir-Book" w:hAnsi="Avenir-Book" w:cs="Arial"/>
                <w:sz w:val="22"/>
                <w:szCs w:val="22"/>
                <w:lang w:eastAsia="es-MX"/>
              </w:rPr>
              <w:t>0</w:t>
            </w:r>
            <w:r w:rsidR="000B3C73" w:rsidRPr="00AD165E">
              <w:rPr>
                <w:rFonts w:ascii="Avenir-Book" w:hAnsi="Avenir-Book" w:cs="Arial"/>
                <w:sz w:val="22"/>
                <w:szCs w:val="22"/>
                <w:lang w:eastAsia="es-MX"/>
              </w:rPr>
              <w:t>.2</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Endeudamiento Externo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r w:rsidR="000B3C73" w:rsidRPr="00AD165E" w:rsidTr="000B3C73">
        <w:trPr>
          <w:trHeight w:val="300"/>
        </w:trPr>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B3C73" w:rsidRPr="00AD165E" w:rsidRDefault="003C67E2" w:rsidP="000B3C73">
            <w:pPr>
              <w:jc w:val="center"/>
              <w:rPr>
                <w:rFonts w:ascii="Avenir-Book" w:hAnsi="Avenir-Book" w:cs="Arial"/>
                <w:highlight w:val="yellow"/>
                <w:lang w:eastAsia="es-MX"/>
              </w:rPr>
            </w:pPr>
            <w:r w:rsidRPr="00AD165E">
              <w:rPr>
                <w:rFonts w:ascii="Avenir-Book" w:hAnsi="Avenir-Book" w:cs="Arial"/>
                <w:sz w:val="22"/>
                <w:szCs w:val="22"/>
                <w:lang w:eastAsia="es-MX"/>
              </w:rPr>
              <w:t>0</w:t>
            </w:r>
            <w:r w:rsidR="000B3C73" w:rsidRPr="00AD165E">
              <w:rPr>
                <w:rFonts w:ascii="Avenir-Book" w:hAnsi="Avenir-Book" w:cs="Arial"/>
                <w:sz w:val="22"/>
                <w:szCs w:val="22"/>
                <w:lang w:eastAsia="es-MX"/>
              </w:rPr>
              <w:t>.3</w:t>
            </w:r>
          </w:p>
        </w:tc>
        <w:tc>
          <w:tcPr>
            <w:tcW w:w="3578"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0B3C73">
            <w:pPr>
              <w:jc w:val="center"/>
              <w:rPr>
                <w:rFonts w:ascii="Avenir-Book" w:hAnsi="Avenir-Book"/>
                <w:color w:val="000000"/>
              </w:rPr>
            </w:pPr>
            <w:r w:rsidRPr="00AD165E">
              <w:rPr>
                <w:rFonts w:ascii="Avenir-Book" w:hAnsi="Avenir-Book"/>
                <w:color w:val="000000"/>
                <w:sz w:val="22"/>
                <w:szCs w:val="22"/>
              </w:rPr>
              <w:t>Financiamiento Interno</w:t>
            </w:r>
          </w:p>
        </w:tc>
        <w:tc>
          <w:tcPr>
            <w:tcW w:w="1021" w:type="pct"/>
            <w:tcBorders>
              <w:top w:val="single" w:sz="4" w:space="0" w:color="auto"/>
              <w:left w:val="nil"/>
              <w:bottom w:val="single" w:sz="4" w:space="0" w:color="auto"/>
              <w:right w:val="single" w:sz="4" w:space="0" w:color="auto"/>
            </w:tcBorders>
            <w:shd w:val="clear" w:color="auto" w:fill="auto"/>
            <w:noWrap/>
            <w:vAlign w:val="center"/>
          </w:tcPr>
          <w:p w:rsidR="000B3C73" w:rsidRPr="00AD165E" w:rsidRDefault="000B3C73" w:rsidP="004842CA">
            <w:pPr>
              <w:jc w:val="right"/>
              <w:rPr>
                <w:rFonts w:ascii="Avenir-Book" w:hAnsi="Avenir-Book"/>
                <w:b/>
                <w:bCs/>
                <w:color w:val="000000"/>
              </w:rPr>
            </w:pPr>
            <w:r w:rsidRPr="00AD165E">
              <w:rPr>
                <w:rFonts w:ascii="Avenir-Book" w:hAnsi="Avenir-Book"/>
                <w:b/>
                <w:bCs/>
                <w:color w:val="000000"/>
                <w:sz w:val="22"/>
                <w:szCs w:val="22"/>
              </w:rPr>
              <w:t>-</w:t>
            </w:r>
          </w:p>
        </w:tc>
      </w:tr>
    </w:tbl>
    <w:p w:rsidR="000B3C73" w:rsidRPr="00AD165E" w:rsidRDefault="000B3C73" w:rsidP="000B3C73">
      <w:pPr>
        <w:pStyle w:val="Sinespaciado"/>
        <w:spacing w:line="276" w:lineRule="auto"/>
        <w:rPr>
          <w:rFonts w:ascii="Avenir-Book" w:hAnsi="Avenir-Book" w:cs="Arial"/>
          <w:b/>
          <w:i/>
          <w:highlight w:val="yellow"/>
        </w:rPr>
      </w:pPr>
    </w:p>
    <w:p w:rsidR="000B3C73" w:rsidRPr="00AD165E" w:rsidRDefault="000B3C73" w:rsidP="000B3C73">
      <w:pPr>
        <w:pStyle w:val="Sinespaciado"/>
        <w:spacing w:line="276" w:lineRule="auto"/>
        <w:jc w:val="both"/>
        <w:rPr>
          <w:rFonts w:ascii="Avenir-Book" w:hAnsi="Avenir-Book" w:cs="Arial"/>
          <w:b/>
          <w:i/>
          <w:sz w:val="16"/>
          <w:szCs w:val="16"/>
        </w:rPr>
      </w:pPr>
      <w:r w:rsidRPr="00AD165E">
        <w:rPr>
          <w:rFonts w:ascii="Avenir-Book" w:hAnsi="Avenir-Book" w:cs="Arial"/>
          <w:b/>
          <w:i/>
          <w:sz w:val="16"/>
          <w:szCs w:val="16"/>
        </w:rPr>
        <w:t>Fuente: Tesorería Municipal.- Con base en la Norma para la presentación de información adicional a la iniciativa de la Ley de Ingresos y del Presupuesto de Egresos, publicada el 3 de abril de 2013.</w:t>
      </w:r>
    </w:p>
    <w:p w:rsidR="00786586" w:rsidRPr="00AD165E" w:rsidRDefault="00786586" w:rsidP="00D40995">
      <w:pPr>
        <w:ind w:right="-234"/>
        <w:jc w:val="both"/>
        <w:rPr>
          <w:rFonts w:ascii="Avenir-Book" w:hAnsi="Avenir-Book" w:cs="Arial"/>
          <w:sz w:val="22"/>
          <w:szCs w:val="22"/>
          <w:highlight w:val="yellow"/>
        </w:rPr>
      </w:pPr>
    </w:p>
    <w:p w:rsidR="000B3C73" w:rsidRPr="00AD165E" w:rsidRDefault="000B3C73" w:rsidP="0005389C">
      <w:pPr>
        <w:ind w:left="-142" w:right="-234"/>
        <w:jc w:val="both"/>
        <w:rPr>
          <w:rFonts w:ascii="Avenir-Book" w:hAnsi="Avenir-Book" w:cs="Arial"/>
          <w:sz w:val="22"/>
          <w:szCs w:val="22"/>
        </w:rPr>
      </w:pPr>
      <w:r w:rsidRPr="00AD165E">
        <w:rPr>
          <w:rFonts w:ascii="Avenir-Book" w:hAnsi="Avenir-Book" w:cs="Arial"/>
          <w:sz w:val="22"/>
          <w:szCs w:val="22"/>
        </w:rPr>
        <w:t xml:space="preserve">La proyección de ingresos conforme a la Ley de Disciplina Financiera de las Entidades Federativas y los Municipios. Será de conformidad con el artículo 18 fracción I de la Ley de Disciplina Financiera e las Entidades Federativas y los Municipios y conforme a </w:t>
      </w:r>
      <w:r w:rsidR="00625577" w:rsidRPr="00AD165E">
        <w:rPr>
          <w:rFonts w:ascii="Avenir-Book" w:hAnsi="Avenir-Book" w:cs="Arial"/>
          <w:sz w:val="22"/>
          <w:szCs w:val="22"/>
        </w:rPr>
        <w:t>los formatos establecidos por el C</w:t>
      </w:r>
      <w:r w:rsidRPr="00AD165E">
        <w:rPr>
          <w:rFonts w:ascii="Avenir-Book" w:hAnsi="Avenir-Book" w:cs="Arial"/>
          <w:sz w:val="22"/>
          <w:szCs w:val="22"/>
        </w:rPr>
        <w:t xml:space="preserve">onsejo Nacional de Armonización Contable, por ello, a </w:t>
      </w:r>
      <w:r w:rsidR="00AD165E" w:rsidRPr="00AD165E">
        <w:rPr>
          <w:rFonts w:ascii="Avenir-Book" w:hAnsi="Avenir-Book" w:cs="Arial"/>
          <w:sz w:val="22"/>
          <w:szCs w:val="22"/>
        </w:rPr>
        <w:t>continuación,</w:t>
      </w:r>
      <w:r w:rsidRPr="00AD165E">
        <w:rPr>
          <w:rFonts w:ascii="Avenir-Book" w:hAnsi="Avenir-Book" w:cs="Arial"/>
          <w:sz w:val="22"/>
          <w:szCs w:val="22"/>
        </w:rPr>
        <w:t xml:space="preserve"> se emite una proyección de ingresos a percibir por el Municipio para l</w:t>
      </w:r>
      <w:r w:rsidR="00625577" w:rsidRPr="00AD165E">
        <w:rPr>
          <w:rFonts w:ascii="Avenir-Book" w:hAnsi="Avenir-Book" w:cs="Arial"/>
          <w:sz w:val="22"/>
          <w:szCs w:val="22"/>
        </w:rPr>
        <w:t>os próximos ejercicios fiscales.</w:t>
      </w:r>
    </w:p>
    <w:p w:rsidR="00256260" w:rsidRPr="00AD165E" w:rsidRDefault="00256260" w:rsidP="000B3C73">
      <w:pPr>
        <w:rPr>
          <w:rFonts w:ascii="Avenir-Book" w:hAnsi="Avenir-Book" w:cs="Arial"/>
          <w:sz w:val="22"/>
          <w:szCs w:val="22"/>
        </w:rPr>
      </w:pPr>
    </w:p>
    <w:p w:rsidR="00141AF4" w:rsidRPr="00AD165E" w:rsidRDefault="00141AF4" w:rsidP="000B3C73">
      <w:pPr>
        <w:rPr>
          <w:rFonts w:ascii="Avenir-Book" w:hAnsi="Avenir-Book"/>
          <w:noProof/>
          <w:sz w:val="22"/>
          <w:szCs w:val="22"/>
          <w:lang w:val="es-MX" w:eastAsia="es-MX"/>
        </w:rPr>
      </w:pPr>
      <w:r w:rsidRPr="00AD165E">
        <w:rPr>
          <w:rFonts w:ascii="Avenir-Book" w:hAnsi="Avenir-Book" w:cs="Arial"/>
          <w:noProof/>
          <w:lang w:val="es-MX" w:eastAsia="es-MX"/>
        </w:rPr>
        <w:drawing>
          <wp:inline distT="0" distB="0" distL="0" distR="0">
            <wp:extent cx="5686425" cy="3959954"/>
            <wp:effectExtent l="19050" t="0" r="0" b="0"/>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260"/>
                    <a:stretch/>
                  </pic:blipFill>
                  <pic:spPr bwMode="auto">
                    <a:xfrm>
                      <a:off x="0" y="0"/>
                      <a:ext cx="5685807" cy="3959524"/>
                    </a:xfrm>
                    <a:prstGeom prst="rect">
                      <a:avLst/>
                    </a:prstGeom>
                    <a:noFill/>
                    <a:ln>
                      <a:noFill/>
                    </a:ln>
                    <a:extLst>
                      <a:ext uri="{53640926-AAD7-44D8-BBD7-CCE9431645EC}">
                        <a14:shadowObscured xmlns:a14="http://schemas.microsoft.com/office/drawing/2010/main"/>
                      </a:ext>
                    </a:extLst>
                  </pic:spPr>
                </pic:pic>
              </a:graphicData>
            </a:graphic>
          </wp:inline>
        </w:drawing>
      </w:r>
    </w:p>
    <w:p w:rsidR="00141AF4" w:rsidRPr="00AD165E" w:rsidRDefault="00141AF4" w:rsidP="000B3C73">
      <w:pPr>
        <w:rPr>
          <w:rFonts w:ascii="Avenir-Book" w:hAnsi="Avenir-Book"/>
          <w:noProof/>
          <w:sz w:val="22"/>
          <w:szCs w:val="22"/>
          <w:lang w:val="es-MX" w:eastAsia="es-MX"/>
        </w:rPr>
      </w:pPr>
    </w:p>
    <w:p w:rsidR="004B78D4" w:rsidRPr="00AD165E" w:rsidRDefault="004B78D4" w:rsidP="000B3C73">
      <w:pPr>
        <w:rPr>
          <w:rFonts w:ascii="Avenir-Book" w:hAnsi="Avenir-Book"/>
          <w:b/>
          <w:noProof/>
          <w:sz w:val="22"/>
          <w:szCs w:val="22"/>
          <w:lang w:val="es-MX" w:eastAsia="es-MX"/>
        </w:rPr>
      </w:pPr>
      <w:r w:rsidRPr="00AD165E">
        <w:rPr>
          <w:rFonts w:ascii="Avenir-Book" w:hAnsi="Avenir-Book"/>
          <w:b/>
          <w:noProof/>
          <w:sz w:val="22"/>
          <w:szCs w:val="22"/>
          <w:lang w:val="es-MX" w:eastAsia="es-MX"/>
        </w:rPr>
        <w:t xml:space="preserve">8.-  Resultados de los Egresos. </w:t>
      </w:r>
    </w:p>
    <w:p w:rsidR="004B78D4" w:rsidRPr="00AD165E" w:rsidRDefault="004B78D4" w:rsidP="000B3C73">
      <w:pPr>
        <w:rPr>
          <w:rFonts w:ascii="Avenir-Book" w:hAnsi="Avenir-Book"/>
          <w:b/>
          <w:noProof/>
          <w:sz w:val="22"/>
          <w:szCs w:val="22"/>
          <w:lang w:val="es-MX" w:eastAsia="es-MX"/>
        </w:rPr>
      </w:pPr>
    </w:p>
    <w:p w:rsidR="004B78D4" w:rsidRPr="00AD165E" w:rsidRDefault="00991F96" w:rsidP="00991F96">
      <w:pPr>
        <w:jc w:val="both"/>
        <w:rPr>
          <w:rFonts w:ascii="Avenir-Book" w:hAnsi="Avenir-Book"/>
          <w:noProof/>
          <w:sz w:val="22"/>
          <w:szCs w:val="22"/>
          <w:lang w:val="es-MX" w:eastAsia="es-MX"/>
        </w:rPr>
      </w:pPr>
      <w:r w:rsidRPr="00AD165E">
        <w:rPr>
          <w:rFonts w:ascii="Avenir-Book" w:hAnsi="Avenir-Book"/>
          <w:noProof/>
          <w:sz w:val="22"/>
          <w:szCs w:val="22"/>
          <w:lang w:val="es-MX" w:eastAsia="es-MX"/>
        </w:rPr>
        <w:t xml:space="preserve">La distribución del Gasto Público ha sido coherente con los resultados registrados por los ingresos, lo que permite un Balance Presupuestario Sostenible en las Finanzas Públicas, previendo un comportamiento estable para los años proyectados con un crecimiento constante, derivado de los incrementos presentados en la recaudación municipal, de acuerdo a los requerimientos establecidos en la Ley de Disciplina Financiera de las Entidades Federativas y los Municipios. </w:t>
      </w: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tbl>
      <w:tblPr>
        <w:tblW w:w="10452" w:type="dxa"/>
        <w:tblInd w:w="-1085" w:type="dxa"/>
        <w:tblCellMar>
          <w:left w:w="70" w:type="dxa"/>
          <w:right w:w="70" w:type="dxa"/>
        </w:tblCellMar>
        <w:tblLook w:val="04A0" w:firstRow="1" w:lastRow="0" w:firstColumn="1" w:lastColumn="0" w:noHBand="0" w:noVBand="1"/>
      </w:tblPr>
      <w:tblGrid>
        <w:gridCol w:w="185"/>
        <w:gridCol w:w="3728"/>
        <w:gridCol w:w="1454"/>
        <w:gridCol w:w="1454"/>
        <w:gridCol w:w="1960"/>
        <w:gridCol w:w="1671"/>
      </w:tblGrid>
      <w:tr w:rsidR="007953F6" w:rsidRPr="00AD165E" w:rsidTr="007F6463">
        <w:trPr>
          <w:trHeight w:val="300"/>
        </w:trPr>
        <w:tc>
          <w:tcPr>
            <w:tcW w:w="10452" w:type="dxa"/>
            <w:gridSpan w:val="6"/>
            <w:tcBorders>
              <w:top w:val="nil"/>
              <w:left w:val="nil"/>
              <w:bottom w:val="nil"/>
              <w:right w:val="nil"/>
            </w:tcBorders>
            <w:shd w:val="clear" w:color="000000" w:fill="C0504D"/>
            <w:noWrap/>
            <w:vAlign w:val="bottom"/>
            <w:hideMark/>
          </w:tcPr>
          <w:p w:rsidR="007953F6" w:rsidRPr="00AD165E" w:rsidRDefault="007953F6" w:rsidP="007953F6">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HONORABLE AYUNTAMIENTO DEL MUNICIPIO DE PUEBLA</w:t>
            </w:r>
          </w:p>
        </w:tc>
      </w:tr>
      <w:tr w:rsidR="007953F6" w:rsidRPr="00AD165E" w:rsidTr="007F6463">
        <w:trPr>
          <w:trHeight w:val="300"/>
        </w:trPr>
        <w:tc>
          <w:tcPr>
            <w:tcW w:w="10452" w:type="dxa"/>
            <w:gridSpan w:val="6"/>
            <w:tcBorders>
              <w:top w:val="nil"/>
              <w:left w:val="nil"/>
              <w:bottom w:val="nil"/>
              <w:right w:val="nil"/>
            </w:tcBorders>
            <w:shd w:val="clear" w:color="000000" w:fill="C0504D"/>
            <w:noWrap/>
            <w:vAlign w:val="bottom"/>
            <w:hideMark/>
          </w:tcPr>
          <w:p w:rsidR="007953F6" w:rsidRPr="00AD165E" w:rsidRDefault="007953F6" w:rsidP="007953F6">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Proyecciones de Egresos - LDF</w:t>
            </w:r>
          </w:p>
        </w:tc>
      </w:tr>
      <w:tr w:rsidR="007953F6" w:rsidRPr="00AD165E" w:rsidTr="007F6463">
        <w:trPr>
          <w:trHeight w:val="300"/>
        </w:trPr>
        <w:tc>
          <w:tcPr>
            <w:tcW w:w="10452" w:type="dxa"/>
            <w:gridSpan w:val="6"/>
            <w:tcBorders>
              <w:top w:val="nil"/>
              <w:left w:val="nil"/>
              <w:bottom w:val="nil"/>
              <w:right w:val="nil"/>
            </w:tcBorders>
            <w:shd w:val="clear" w:color="000000" w:fill="C0504D"/>
            <w:noWrap/>
            <w:vAlign w:val="bottom"/>
            <w:hideMark/>
          </w:tcPr>
          <w:p w:rsidR="007953F6" w:rsidRPr="00AD165E" w:rsidRDefault="007953F6" w:rsidP="007953F6">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(PESOS)</w:t>
            </w:r>
          </w:p>
        </w:tc>
      </w:tr>
      <w:tr w:rsidR="007953F6" w:rsidRPr="00AD165E" w:rsidTr="007F6463">
        <w:trPr>
          <w:trHeight w:val="315"/>
        </w:trPr>
        <w:tc>
          <w:tcPr>
            <w:tcW w:w="10452" w:type="dxa"/>
            <w:gridSpan w:val="6"/>
            <w:tcBorders>
              <w:top w:val="nil"/>
              <w:left w:val="nil"/>
              <w:bottom w:val="nil"/>
              <w:right w:val="nil"/>
            </w:tcBorders>
            <w:shd w:val="clear" w:color="000000" w:fill="C0504D"/>
            <w:noWrap/>
            <w:vAlign w:val="bottom"/>
            <w:hideMark/>
          </w:tcPr>
          <w:p w:rsidR="007953F6" w:rsidRPr="00AD165E" w:rsidRDefault="007953F6" w:rsidP="007953F6">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(CIFRAS NOMINALES)</w:t>
            </w:r>
          </w:p>
        </w:tc>
      </w:tr>
      <w:tr w:rsidR="007953F6" w:rsidRPr="00AD165E" w:rsidTr="007F6463">
        <w:trPr>
          <w:trHeight w:val="537"/>
        </w:trPr>
        <w:tc>
          <w:tcPr>
            <w:tcW w:w="39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53F6" w:rsidRPr="00AD165E" w:rsidRDefault="007953F6" w:rsidP="007953F6">
            <w:pPr>
              <w:jc w:val="center"/>
              <w:rPr>
                <w:rFonts w:ascii="Avenir-Book" w:hAnsi="Avenir-Book"/>
                <w:b/>
                <w:bCs/>
                <w:sz w:val="16"/>
                <w:szCs w:val="16"/>
                <w:lang w:val="es-MX" w:eastAsia="es-MX"/>
              </w:rPr>
            </w:pPr>
            <w:r w:rsidRPr="00AD165E">
              <w:rPr>
                <w:rFonts w:ascii="Avenir-Book" w:hAnsi="Avenir-Book"/>
                <w:b/>
                <w:bCs/>
                <w:sz w:val="16"/>
                <w:szCs w:val="16"/>
                <w:lang w:val="es-MX" w:eastAsia="es-MX"/>
              </w:rPr>
              <w:t xml:space="preserve">C O N C E P T O </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AD165E" w:rsidRDefault="007953F6" w:rsidP="007953F6">
            <w:pPr>
              <w:jc w:val="center"/>
              <w:rPr>
                <w:rFonts w:ascii="Avenir-Book" w:hAnsi="Avenir-Book"/>
                <w:b/>
                <w:bCs/>
                <w:sz w:val="16"/>
                <w:szCs w:val="16"/>
                <w:lang w:val="es-MX" w:eastAsia="es-MX"/>
              </w:rPr>
            </w:pPr>
            <w:r w:rsidRPr="00AD165E">
              <w:rPr>
                <w:rFonts w:ascii="Avenir-Book" w:hAnsi="Avenir-Book"/>
                <w:b/>
                <w:bCs/>
                <w:sz w:val="16"/>
                <w:szCs w:val="16"/>
                <w:lang w:val="es-MX" w:eastAsia="es-MX"/>
              </w:rPr>
              <w:t>2016</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AD165E" w:rsidRDefault="007953F6" w:rsidP="007953F6">
            <w:pPr>
              <w:jc w:val="center"/>
              <w:rPr>
                <w:rFonts w:ascii="Avenir-Book" w:hAnsi="Avenir-Book"/>
                <w:b/>
                <w:bCs/>
                <w:sz w:val="16"/>
                <w:szCs w:val="16"/>
                <w:lang w:val="es-MX" w:eastAsia="es-MX"/>
              </w:rPr>
            </w:pPr>
            <w:r w:rsidRPr="00AD165E">
              <w:rPr>
                <w:rFonts w:ascii="Avenir-Book" w:hAnsi="Avenir-Book"/>
                <w:b/>
                <w:bCs/>
                <w:sz w:val="16"/>
                <w:szCs w:val="16"/>
                <w:lang w:val="es-MX" w:eastAsia="es-MX"/>
              </w:rPr>
              <w:t>2017</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AD165E" w:rsidRDefault="007953F6" w:rsidP="007953F6">
            <w:pPr>
              <w:jc w:val="center"/>
              <w:rPr>
                <w:rFonts w:ascii="Avenir-Book" w:hAnsi="Avenir-Book"/>
                <w:b/>
                <w:bCs/>
                <w:sz w:val="16"/>
                <w:szCs w:val="16"/>
                <w:lang w:val="es-MX" w:eastAsia="es-MX"/>
              </w:rPr>
            </w:pPr>
            <w:r w:rsidRPr="00AD165E">
              <w:rPr>
                <w:rFonts w:ascii="Avenir-Book" w:hAnsi="Avenir-Book"/>
                <w:b/>
                <w:bCs/>
                <w:sz w:val="16"/>
                <w:szCs w:val="16"/>
                <w:lang w:val="es-MX" w:eastAsia="es-MX"/>
              </w:rPr>
              <w:t>2018</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AD165E" w:rsidRDefault="007953F6" w:rsidP="007953F6">
            <w:pPr>
              <w:jc w:val="center"/>
              <w:rPr>
                <w:rFonts w:ascii="Avenir-Book" w:hAnsi="Avenir-Book"/>
                <w:b/>
                <w:bCs/>
                <w:sz w:val="16"/>
                <w:szCs w:val="16"/>
                <w:lang w:val="es-MX" w:eastAsia="es-MX"/>
              </w:rPr>
            </w:pPr>
            <w:r w:rsidRPr="00AD165E">
              <w:rPr>
                <w:rFonts w:ascii="Avenir-Book" w:hAnsi="Avenir-Book"/>
                <w:b/>
                <w:bCs/>
                <w:sz w:val="16"/>
                <w:szCs w:val="16"/>
                <w:lang w:val="es-MX" w:eastAsia="es-MX"/>
              </w:rPr>
              <w:t>2019</w:t>
            </w:r>
          </w:p>
        </w:tc>
      </w:tr>
      <w:tr w:rsidR="007953F6" w:rsidRPr="00AD165E" w:rsidTr="007F6463">
        <w:trPr>
          <w:trHeight w:val="537"/>
        </w:trPr>
        <w:tc>
          <w:tcPr>
            <w:tcW w:w="3913" w:type="dxa"/>
            <w:gridSpan w:val="2"/>
            <w:vMerge/>
            <w:tcBorders>
              <w:top w:val="single" w:sz="4" w:space="0" w:color="auto"/>
              <w:left w:val="single" w:sz="4" w:space="0" w:color="auto"/>
              <w:bottom w:val="single" w:sz="4" w:space="0" w:color="000000"/>
              <w:right w:val="single" w:sz="4" w:space="0" w:color="000000"/>
            </w:tcBorders>
            <w:vAlign w:val="center"/>
            <w:hideMark/>
          </w:tcPr>
          <w:p w:rsidR="007953F6" w:rsidRPr="00AD165E" w:rsidRDefault="007953F6" w:rsidP="007953F6">
            <w:pPr>
              <w:rPr>
                <w:rFonts w:ascii="Avenir-Book" w:hAnsi="Avenir-Book"/>
                <w:b/>
                <w:bCs/>
                <w:sz w:val="16"/>
                <w:szCs w:val="16"/>
                <w:lang w:val="es-MX" w:eastAsia="es-MX"/>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7953F6" w:rsidRPr="00AD165E" w:rsidRDefault="007953F6" w:rsidP="007953F6">
            <w:pPr>
              <w:rPr>
                <w:rFonts w:ascii="Avenir-Book" w:hAnsi="Avenir-Book"/>
                <w:b/>
                <w:bCs/>
                <w:sz w:val="16"/>
                <w:szCs w:val="16"/>
                <w:lang w:val="es-MX" w:eastAsia="es-MX"/>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7953F6" w:rsidRPr="00AD165E" w:rsidRDefault="007953F6" w:rsidP="007953F6">
            <w:pPr>
              <w:rPr>
                <w:rFonts w:ascii="Avenir-Book" w:hAnsi="Avenir-Book"/>
                <w:b/>
                <w:bCs/>
                <w:sz w:val="16"/>
                <w:szCs w:val="16"/>
                <w:lang w:val="es-MX" w:eastAsia="es-MX"/>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7953F6" w:rsidRPr="00AD165E" w:rsidRDefault="007953F6" w:rsidP="007953F6">
            <w:pPr>
              <w:rPr>
                <w:rFonts w:ascii="Avenir-Book" w:hAnsi="Avenir-Book"/>
                <w:b/>
                <w:bCs/>
                <w:sz w:val="16"/>
                <w:szCs w:val="16"/>
                <w:lang w:val="es-MX" w:eastAsia="es-MX"/>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7953F6" w:rsidRPr="00AD165E" w:rsidRDefault="007953F6" w:rsidP="007953F6">
            <w:pPr>
              <w:rPr>
                <w:rFonts w:ascii="Avenir-Book" w:hAnsi="Avenir-Book"/>
                <w:b/>
                <w:bCs/>
                <w:sz w:val="16"/>
                <w:szCs w:val="16"/>
                <w:lang w:val="es-MX" w:eastAsia="es-MX"/>
              </w:rPr>
            </w:pPr>
          </w:p>
        </w:tc>
      </w:tr>
      <w:tr w:rsidR="007953F6" w:rsidRPr="00AD165E" w:rsidTr="007F6463">
        <w:trPr>
          <w:trHeight w:val="300"/>
        </w:trPr>
        <w:tc>
          <w:tcPr>
            <w:tcW w:w="3913"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953F6" w:rsidRPr="00AD165E" w:rsidRDefault="007953F6" w:rsidP="007953F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 Gasto no Etiquetado (1=A+B+C+D+E+F+G+H+I)</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3,392,311,956.23</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3,394,391,591.99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4,410,729,010.07</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4,286,905,404.57</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A. Servicios Personales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1,135,889,582.75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1,161,257,606.50</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1,323,858,442.95</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1,363,574,196.24</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B. Materiales y Suministros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162,844,226.95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184,813,229.23</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225,688,120.32</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232,458,763.93</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C. Servicios Generales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1,009,938,391.31</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967,138,733.67</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1,105,314,422.08</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1,138,473,854.74</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D. Transferencias, Asignaciones, Subsidios y otras ayudas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739,874,323.51</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784,114,963.54</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571,867,864.49</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589,023,900.43</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E. Bienes Muebles Y Inmuebles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26,912,392.48</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113,634,849.86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232,440,223.88</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239,413,430.60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F.  Inversion Pública</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313,645,079.85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99,553,180.79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692,875,008.39</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713,661,258.64</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G. Inversiones financieras y otras provisiones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H. Participaciones y Aportaciones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2,318,216.98</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926,238.09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10,000,000.00</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10,300,000.00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I. Deuda publica</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889,742.40</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82,952,790.31</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248,684,927.96</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r>
      <w:tr w:rsidR="007953F6" w:rsidRPr="00AD165E" w:rsidTr="007F6463">
        <w:trPr>
          <w:trHeight w:val="300"/>
        </w:trPr>
        <w:tc>
          <w:tcPr>
            <w:tcW w:w="3913" w:type="dxa"/>
            <w:gridSpan w:val="2"/>
            <w:tcBorders>
              <w:top w:val="nil"/>
              <w:left w:val="single" w:sz="4" w:space="0" w:color="auto"/>
              <w:bottom w:val="nil"/>
              <w:right w:val="single" w:sz="4" w:space="0" w:color="000000"/>
            </w:tcBorders>
            <w:shd w:val="clear" w:color="auto" w:fill="auto"/>
            <w:noWrap/>
            <w:vAlign w:val="bottom"/>
            <w:hideMark/>
          </w:tcPr>
          <w:p w:rsidR="007953F6" w:rsidRPr="00AD165E" w:rsidRDefault="007953F6" w:rsidP="007953F6">
            <w:pP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2. Gasto etiquetado (2=A+B+C+D+E+F+G+H+I)</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1,522,959,621.96</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1,269,707,822.66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1,501,042,006.05</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1,546,073,266.23</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A. Servicios Personales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267,001,414.75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265,656,590.52</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263,915,152.32</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271,832,606.89</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B. Materiales y Suministros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45,865,995.34</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28,085,109.96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2,664,009.60</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2,743,929.89</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C. Servicios Generales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167,221,194.29</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173,185,922.48</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246,617,064.56</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254,015,576.50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D. Transferencias, Asignaciones, Subsidios y otras ayudas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535,991,853.85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389,625,883.79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397,577,192.36</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409,504,508.13</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E. Bienes Muebles Y Inmuebles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18,812,485.24</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1,280,499.86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46,178,792.13</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47,564,155.90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F.  Inversion Pública</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408,080,282.38</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248,544,047.22</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471,816,324.17</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485,970,813.90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G. Inversiones financieras y otras provisiones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0.00</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H. Participaciones y Aportaciones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10,945,241.95</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11,567,436.47</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20,000.00</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20,600.00</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I. Deuda publica</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69,041,154.16</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151,762,332.36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72,253,470.91</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74,421,075.03</w:t>
            </w:r>
          </w:p>
        </w:tc>
      </w:tr>
      <w:tr w:rsidR="007953F6" w:rsidRPr="00AD165E" w:rsidTr="007F6463">
        <w:trPr>
          <w:trHeight w:val="300"/>
        </w:trPr>
        <w:tc>
          <w:tcPr>
            <w:tcW w:w="185" w:type="dxa"/>
            <w:tcBorders>
              <w:top w:val="nil"/>
              <w:left w:val="single" w:sz="4" w:space="0" w:color="auto"/>
              <w:bottom w:val="nil"/>
              <w:right w:val="nil"/>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AD165E" w:rsidRDefault="007953F6" w:rsidP="007953F6">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color w:val="000000"/>
                <w:sz w:val="16"/>
                <w:szCs w:val="16"/>
                <w:lang w:val="es-MX" w:eastAsia="es-MX"/>
              </w:rPr>
            </w:pPr>
          </w:p>
        </w:tc>
      </w:tr>
      <w:tr w:rsidR="007953F6" w:rsidRPr="00AD165E" w:rsidTr="007F6463">
        <w:trPr>
          <w:trHeight w:val="300"/>
        </w:trPr>
        <w:tc>
          <w:tcPr>
            <w:tcW w:w="391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7953F6" w:rsidRPr="00AD165E" w:rsidRDefault="007953F6" w:rsidP="007953F6">
            <w:pP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 Total de Egresos Proyectados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4,915,271,578.19</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4,664,099,414.65</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5,911,771,016.123</w:t>
            </w:r>
          </w:p>
        </w:tc>
        <w:tc>
          <w:tcPr>
            <w:tcW w:w="1671" w:type="dxa"/>
            <w:tcBorders>
              <w:top w:val="nil"/>
              <w:left w:val="nil"/>
              <w:bottom w:val="single" w:sz="4" w:space="0" w:color="auto"/>
              <w:right w:val="single" w:sz="4" w:space="0" w:color="auto"/>
            </w:tcBorders>
            <w:shd w:val="clear" w:color="auto" w:fill="auto"/>
            <w:noWrap/>
            <w:vAlign w:val="center"/>
            <w:hideMark/>
          </w:tcPr>
          <w:p w:rsidR="007953F6" w:rsidRPr="00AD165E" w:rsidRDefault="007953F6" w:rsidP="00DB14D6">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5,832,978,670.808</w:t>
            </w:r>
          </w:p>
        </w:tc>
      </w:tr>
    </w:tbl>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tbl>
      <w:tblPr>
        <w:tblW w:w="11582" w:type="dxa"/>
        <w:tblInd w:w="-1655" w:type="dxa"/>
        <w:tblCellMar>
          <w:left w:w="70" w:type="dxa"/>
          <w:right w:w="70" w:type="dxa"/>
        </w:tblCellMar>
        <w:tblLook w:val="04A0" w:firstRow="1" w:lastRow="0" w:firstColumn="1" w:lastColumn="0" w:noHBand="0" w:noVBand="1"/>
      </w:tblPr>
      <w:tblGrid>
        <w:gridCol w:w="2177"/>
        <w:gridCol w:w="3119"/>
        <w:gridCol w:w="1559"/>
        <w:gridCol w:w="1559"/>
        <w:gridCol w:w="1559"/>
        <w:gridCol w:w="1701"/>
      </w:tblGrid>
      <w:tr w:rsidR="0037639C" w:rsidRPr="00AD165E" w:rsidTr="0037639C">
        <w:trPr>
          <w:trHeight w:val="300"/>
        </w:trPr>
        <w:tc>
          <w:tcPr>
            <w:tcW w:w="11582" w:type="dxa"/>
            <w:gridSpan w:val="6"/>
            <w:tcBorders>
              <w:top w:val="nil"/>
              <w:left w:val="nil"/>
              <w:bottom w:val="nil"/>
              <w:right w:val="nil"/>
            </w:tcBorders>
            <w:shd w:val="clear" w:color="000000" w:fill="C0504D"/>
            <w:noWrap/>
            <w:vAlign w:val="bottom"/>
            <w:hideMark/>
          </w:tcPr>
          <w:p w:rsidR="0037639C" w:rsidRPr="00AD165E" w:rsidRDefault="007953F6" w:rsidP="0037639C">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HONO</w:t>
            </w:r>
            <w:r w:rsidR="0037639C" w:rsidRPr="00AD165E">
              <w:rPr>
                <w:rFonts w:ascii="Avenir-Book" w:hAnsi="Avenir-Book"/>
                <w:b/>
                <w:bCs/>
                <w:color w:val="FFFFFF"/>
                <w:sz w:val="20"/>
                <w:szCs w:val="16"/>
                <w:lang w:val="es-MX" w:eastAsia="es-MX"/>
              </w:rPr>
              <w:t>RABLE AYUNTAMIENTO DEL MUNICIPIO DE PUEBLA</w:t>
            </w:r>
          </w:p>
        </w:tc>
      </w:tr>
      <w:tr w:rsidR="0037639C" w:rsidRPr="00AD165E" w:rsidTr="0037639C">
        <w:trPr>
          <w:trHeight w:val="300"/>
        </w:trPr>
        <w:tc>
          <w:tcPr>
            <w:tcW w:w="11582" w:type="dxa"/>
            <w:gridSpan w:val="6"/>
            <w:tcBorders>
              <w:top w:val="nil"/>
              <w:left w:val="nil"/>
              <w:bottom w:val="nil"/>
              <w:right w:val="nil"/>
            </w:tcBorders>
            <w:shd w:val="clear" w:color="000000" w:fill="C0504D"/>
            <w:noWrap/>
            <w:vAlign w:val="bottom"/>
            <w:hideMark/>
          </w:tcPr>
          <w:p w:rsidR="0037639C" w:rsidRPr="00AD165E" w:rsidRDefault="0037639C" w:rsidP="0037639C">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Proyecciones de Egresos - LDF</w:t>
            </w:r>
          </w:p>
        </w:tc>
      </w:tr>
      <w:tr w:rsidR="0037639C" w:rsidRPr="00AD165E" w:rsidTr="0037639C">
        <w:trPr>
          <w:trHeight w:val="300"/>
        </w:trPr>
        <w:tc>
          <w:tcPr>
            <w:tcW w:w="11582" w:type="dxa"/>
            <w:gridSpan w:val="6"/>
            <w:tcBorders>
              <w:top w:val="nil"/>
              <w:left w:val="nil"/>
              <w:bottom w:val="nil"/>
              <w:right w:val="nil"/>
            </w:tcBorders>
            <w:shd w:val="clear" w:color="000000" w:fill="C0504D"/>
            <w:noWrap/>
            <w:vAlign w:val="bottom"/>
            <w:hideMark/>
          </w:tcPr>
          <w:p w:rsidR="0037639C" w:rsidRPr="00AD165E" w:rsidRDefault="0037639C" w:rsidP="0037639C">
            <w:pPr>
              <w:jc w:val="center"/>
              <w:rPr>
                <w:rFonts w:ascii="Avenir-Book" w:hAnsi="Avenir-Book"/>
                <w:b/>
                <w:bCs/>
                <w:color w:val="FFFFFF"/>
                <w:sz w:val="20"/>
                <w:szCs w:val="16"/>
                <w:lang w:val="es-MX" w:eastAsia="es-MX"/>
              </w:rPr>
            </w:pPr>
            <w:r w:rsidRPr="00AD165E">
              <w:rPr>
                <w:rFonts w:ascii="Avenir-Book" w:hAnsi="Avenir-Book"/>
                <w:b/>
                <w:bCs/>
                <w:color w:val="FFFFFF"/>
                <w:sz w:val="20"/>
                <w:szCs w:val="16"/>
                <w:lang w:val="es-MX" w:eastAsia="es-MX"/>
              </w:rPr>
              <w:t>(PESOS)</w:t>
            </w:r>
          </w:p>
        </w:tc>
      </w:tr>
      <w:tr w:rsidR="0037639C" w:rsidRPr="00AD165E" w:rsidTr="0037639C">
        <w:trPr>
          <w:trHeight w:val="300"/>
        </w:trPr>
        <w:tc>
          <w:tcPr>
            <w:tcW w:w="520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639C" w:rsidRPr="00AD165E" w:rsidRDefault="0037639C" w:rsidP="0037639C">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CONCEPTO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7639C" w:rsidRPr="00AD165E" w:rsidRDefault="0037639C" w:rsidP="0037639C">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2019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7639C" w:rsidRPr="00AD165E" w:rsidRDefault="0037639C" w:rsidP="0037639C">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2020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37639C" w:rsidRPr="00AD165E" w:rsidRDefault="0037639C" w:rsidP="0037639C">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2021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7639C" w:rsidRPr="00AD165E" w:rsidRDefault="0037639C" w:rsidP="0037639C">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2022</w:t>
            </w:r>
          </w:p>
        </w:tc>
      </w:tr>
      <w:tr w:rsidR="0037639C" w:rsidRPr="00AD165E" w:rsidTr="00533ECB">
        <w:trPr>
          <w:trHeight w:val="465"/>
        </w:trPr>
        <w:tc>
          <w:tcPr>
            <w:tcW w:w="2085" w:type="dxa"/>
            <w:tcBorders>
              <w:top w:val="nil"/>
              <w:left w:val="single" w:sz="4" w:space="0" w:color="auto"/>
              <w:bottom w:val="single" w:sz="4" w:space="0" w:color="auto"/>
              <w:right w:val="single" w:sz="4" w:space="0" w:color="auto"/>
            </w:tcBorders>
            <w:shd w:val="clear" w:color="auto" w:fill="auto"/>
            <w:vAlign w:val="bottom"/>
            <w:hideMark/>
          </w:tcPr>
          <w:p w:rsidR="0037639C" w:rsidRPr="00AD165E" w:rsidRDefault="0037639C" w:rsidP="0037639C">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 Gasto no Etiquetado (1=A+B+C+D+E+F+G+H+I)</w:t>
            </w:r>
          </w:p>
        </w:tc>
        <w:tc>
          <w:tcPr>
            <w:tcW w:w="3119" w:type="dxa"/>
            <w:tcBorders>
              <w:top w:val="nil"/>
              <w:left w:val="nil"/>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3,770,754,774.00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3,863,868,933.64</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3,959,376,348.40</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4,057,340,812.53</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A. 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1,360,805,660.00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1,394,408,510.44</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1,428,841,127.84</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1,464,124,001.90</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B. Materiales y Suministros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244,900,510.00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250,947,924.01</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257,144,668.93</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263,494,432.24</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C. Servicios Generales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968,976,141.00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992,905,000.23</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1,017,518,697.75</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1,042,838,841.26</w:t>
            </w:r>
          </w:p>
        </w:tc>
      </w:tr>
      <w:tr w:rsidR="0037639C" w:rsidRPr="00AD165E" w:rsidTr="00533ECB">
        <w:trPr>
          <w:trHeight w:val="465"/>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D. Transferencias, Asignaciones, Subsidios y otras ayudas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603,011,126.00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617,901,490.79</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633,159,548.57</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648,794,378.90</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E. Bienes Muebles Y Inmuebles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83,320,765.00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85,378,233.81</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87,486,508.42</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89,646,843.40</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F.  Inversion Pública</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108,768,430.00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111,454,286.91</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114,206,466.63</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117,026,606.88</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G. Inversiones financieras y otras provisiones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384,107,238.00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393,592,132.47</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403,311,240.75</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413,270,346.38</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H. Participaciobnes y Aportaciones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I. Deuda publica</w:t>
            </w:r>
          </w:p>
        </w:tc>
        <w:tc>
          <w:tcPr>
            <w:tcW w:w="1559" w:type="dxa"/>
            <w:tcBorders>
              <w:top w:val="nil"/>
              <w:left w:val="nil"/>
              <w:bottom w:val="nil"/>
              <w:right w:val="nil"/>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16,864,904.00</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17,281,354.98</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17,708,089.52</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18,145,361.58</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1,277,377,626.00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1,301,425,178.52</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1,333,436,192.45</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1,355,470,447.71</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A. 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377,016,807.00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384,114,299.20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391,345,404.53</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398,712,638.31</w:t>
            </w:r>
          </w:p>
        </w:tc>
      </w:tr>
      <w:tr w:rsidR="0037639C" w:rsidRPr="00AD165E" w:rsidTr="00533ECB">
        <w:trPr>
          <w:trHeight w:val="465"/>
        </w:trPr>
        <w:tc>
          <w:tcPr>
            <w:tcW w:w="2085" w:type="dxa"/>
            <w:tcBorders>
              <w:top w:val="nil"/>
              <w:left w:val="single" w:sz="4" w:space="0" w:color="auto"/>
              <w:bottom w:val="single" w:sz="4" w:space="0" w:color="auto"/>
              <w:right w:val="single" w:sz="4" w:space="0" w:color="auto"/>
            </w:tcBorders>
            <w:shd w:val="clear" w:color="auto" w:fill="auto"/>
            <w:vAlign w:val="bottom"/>
            <w:hideMark/>
          </w:tcPr>
          <w:p w:rsidR="0037639C" w:rsidRPr="00AD165E" w:rsidRDefault="0037639C" w:rsidP="0037639C">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 Gasto etiquetado (2=A+B+C+D+E+F+G+H+I)</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B. Materiales y Suministros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33,769,220.00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34,404,939.07</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35,052,625.81</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35,712,505.52</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C. Servicios Generales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196,617,025.00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197,886,828.21</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207,859,818.14</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210,267,487.74</w:t>
            </w:r>
          </w:p>
        </w:tc>
      </w:tr>
      <w:tr w:rsidR="0037639C" w:rsidRPr="00AD165E" w:rsidTr="00533ECB">
        <w:trPr>
          <w:trHeight w:val="465"/>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D. Transferencias, Asignaciones, Subsidios y otras ayudas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450,779,788.00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459,265,897.82</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467,911,762.05</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476,720,388.14</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E. Bienes Muebles Y Inmuebles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16,137,638.00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16,441,435.49</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16,750,952.09</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17,066,295.46</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F.  Inversion Pública</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121,286,149.00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123,569,409.27</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125,895,652.83</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128,265,688.85</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G. Inversiones financieras y otras provisiones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2,364,890.00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2,409,410.00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2,454,768.11</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2,500,980.10</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H. Participaciones y Aportaciones</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3119" w:type="dxa"/>
            <w:tcBorders>
              <w:top w:val="nil"/>
              <w:left w:val="nil"/>
              <w:bottom w:val="single" w:sz="4" w:space="0" w:color="auto"/>
              <w:right w:val="single" w:sz="4" w:space="0" w:color="auto"/>
            </w:tcBorders>
            <w:shd w:val="clear" w:color="auto" w:fill="auto"/>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I. Deuda publica</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79,406,109.00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83,332,959.45</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86,165,208.89</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color w:val="000000"/>
                <w:sz w:val="16"/>
                <w:szCs w:val="16"/>
                <w:lang w:val="es-MX" w:eastAsia="es-MX"/>
              </w:rPr>
            </w:pPr>
            <w:r w:rsidRPr="00AD165E">
              <w:rPr>
                <w:rFonts w:ascii="Avenir-Book" w:hAnsi="Avenir-Book"/>
                <w:color w:val="000000"/>
                <w:sz w:val="16"/>
                <w:szCs w:val="16"/>
                <w:lang w:val="es-MX" w:eastAsia="es-MX"/>
              </w:rPr>
              <w:t>86,224,463.60</w:t>
            </w:r>
          </w:p>
        </w:tc>
      </w:tr>
      <w:tr w:rsidR="0037639C" w:rsidRPr="00AD165E" w:rsidTr="00533EC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3. Total de egresos proyectados (3=1+2)</w:t>
            </w:r>
          </w:p>
        </w:tc>
        <w:tc>
          <w:tcPr>
            <w:tcW w:w="3119" w:type="dxa"/>
            <w:tcBorders>
              <w:top w:val="nil"/>
              <w:left w:val="nil"/>
              <w:bottom w:val="single" w:sz="4" w:space="0" w:color="auto"/>
              <w:right w:val="single" w:sz="4" w:space="0" w:color="auto"/>
            </w:tcBorders>
            <w:shd w:val="clear" w:color="auto" w:fill="auto"/>
            <w:noWrap/>
            <w:vAlign w:val="bottom"/>
            <w:hideMark/>
          </w:tcPr>
          <w:p w:rsidR="0037639C" w:rsidRPr="00AD165E" w:rsidRDefault="0037639C" w:rsidP="0037639C">
            <w:pPr>
              <w:rPr>
                <w:rFonts w:ascii="Avenir-Book" w:hAnsi="Avenir-Book"/>
                <w:color w:val="000000"/>
                <w:sz w:val="16"/>
                <w:szCs w:val="16"/>
                <w:lang w:val="es-MX" w:eastAsia="es-MX"/>
              </w:rPr>
            </w:pPr>
            <w:r w:rsidRPr="00AD165E">
              <w:rPr>
                <w:rFonts w:ascii="Avenir-Book" w:hAnsi="Avenir-Book"/>
                <w:color w:val="000000"/>
                <w:sz w:val="16"/>
                <w:szCs w:val="16"/>
                <w:lang w:val="es-MX" w:eastAsia="es-MX"/>
              </w:rPr>
              <w:t> </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5,048,132,400.00</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5,165,294,112.15</w:t>
            </w:r>
          </w:p>
        </w:tc>
        <w:tc>
          <w:tcPr>
            <w:tcW w:w="1559"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5,292,812,540.85</w:t>
            </w:r>
          </w:p>
        </w:tc>
        <w:tc>
          <w:tcPr>
            <w:tcW w:w="1701" w:type="dxa"/>
            <w:tcBorders>
              <w:top w:val="nil"/>
              <w:left w:val="nil"/>
              <w:bottom w:val="single" w:sz="4" w:space="0" w:color="auto"/>
              <w:right w:val="single" w:sz="4" w:space="0" w:color="auto"/>
            </w:tcBorders>
            <w:shd w:val="clear" w:color="auto" w:fill="auto"/>
            <w:noWrap/>
            <w:vAlign w:val="center"/>
            <w:hideMark/>
          </w:tcPr>
          <w:p w:rsidR="0037639C" w:rsidRPr="00AD165E" w:rsidRDefault="0037639C" w:rsidP="00533ECB">
            <w:pPr>
              <w:jc w:val="center"/>
              <w:rPr>
                <w:rFonts w:ascii="Avenir-Book" w:hAnsi="Avenir-Book"/>
                <w:b/>
                <w:bCs/>
                <w:color w:val="000000"/>
                <w:sz w:val="16"/>
                <w:szCs w:val="16"/>
                <w:lang w:val="es-MX" w:eastAsia="es-MX"/>
              </w:rPr>
            </w:pPr>
            <w:r w:rsidRPr="00AD165E">
              <w:rPr>
                <w:rFonts w:ascii="Avenir-Book" w:hAnsi="Avenir-Book"/>
                <w:b/>
                <w:bCs/>
                <w:color w:val="000000"/>
                <w:sz w:val="16"/>
                <w:szCs w:val="16"/>
                <w:lang w:val="es-MX" w:eastAsia="es-MX"/>
              </w:rPr>
              <w:t>5,412,811,260.25</w:t>
            </w:r>
          </w:p>
        </w:tc>
      </w:tr>
    </w:tbl>
    <w:p w:rsidR="00DB14D6" w:rsidRPr="00AD165E" w:rsidRDefault="00DB14D6" w:rsidP="004B78D4">
      <w:pPr>
        <w:autoSpaceDE w:val="0"/>
        <w:autoSpaceDN w:val="0"/>
        <w:adjustRightInd w:val="0"/>
        <w:jc w:val="both"/>
        <w:rPr>
          <w:rFonts w:ascii="Avenir-Book" w:hAnsi="Avenir-Book" w:cs="Arial"/>
          <w:bCs/>
          <w:sz w:val="22"/>
          <w:szCs w:val="22"/>
        </w:rPr>
      </w:pPr>
    </w:p>
    <w:p w:rsidR="00DB14D6" w:rsidRPr="00AD165E" w:rsidRDefault="00DB14D6" w:rsidP="004B78D4">
      <w:pPr>
        <w:autoSpaceDE w:val="0"/>
        <w:autoSpaceDN w:val="0"/>
        <w:adjustRightInd w:val="0"/>
        <w:jc w:val="both"/>
        <w:rPr>
          <w:rFonts w:ascii="Avenir-Book" w:hAnsi="Avenir-Book" w:cs="Arial"/>
          <w:bCs/>
          <w:sz w:val="22"/>
          <w:szCs w:val="22"/>
        </w:rPr>
      </w:pPr>
    </w:p>
    <w:p w:rsidR="00FB42BB" w:rsidRPr="00AD165E" w:rsidRDefault="000B3C73" w:rsidP="004B78D4">
      <w:pPr>
        <w:autoSpaceDE w:val="0"/>
        <w:autoSpaceDN w:val="0"/>
        <w:adjustRightInd w:val="0"/>
        <w:jc w:val="both"/>
        <w:rPr>
          <w:rFonts w:ascii="Avenir-Book" w:hAnsi="Avenir-Book" w:cs="Arial"/>
          <w:sz w:val="22"/>
          <w:szCs w:val="22"/>
        </w:rPr>
      </w:pPr>
      <w:r w:rsidRPr="00AD165E">
        <w:rPr>
          <w:rFonts w:ascii="Avenir-Book" w:hAnsi="Avenir-Book" w:cs="Arial"/>
          <w:bCs/>
          <w:sz w:val="22"/>
          <w:szCs w:val="22"/>
        </w:rPr>
        <w:t xml:space="preserve">Por lo anteriormente expuesto y con el fin de cumplir con </w:t>
      </w:r>
      <w:r w:rsidR="00FB42BB" w:rsidRPr="00AD165E">
        <w:rPr>
          <w:rFonts w:ascii="Avenir-Book" w:hAnsi="Avenir-Book" w:cs="Arial"/>
          <w:bCs/>
          <w:sz w:val="22"/>
          <w:szCs w:val="22"/>
        </w:rPr>
        <w:t>los requerimientos vinculado</w:t>
      </w:r>
      <w:r w:rsidRPr="00AD165E">
        <w:rPr>
          <w:rFonts w:ascii="Avenir-Book" w:hAnsi="Avenir-Book" w:cs="Arial"/>
          <w:bCs/>
          <w:sz w:val="22"/>
          <w:szCs w:val="22"/>
        </w:rPr>
        <w:t>s al ejercicio del gasto público y de alinear las acciones de gobierno</w:t>
      </w:r>
      <w:r w:rsidR="00625577" w:rsidRPr="00AD165E">
        <w:rPr>
          <w:rFonts w:ascii="Avenir-Book" w:hAnsi="Avenir-Book" w:cs="Arial"/>
          <w:bCs/>
          <w:sz w:val="22"/>
          <w:szCs w:val="22"/>
        </w:rPr>
        <w:t xml:space="preserve"> establecidas para una ciudad incluyente</w:t>
      </w:r>
      <w:r w:rsidRPr="00AD165E">
        <w:rPr>
          <w:rFonts w:ascii="Avenir-Book" w:hAnsi="Avenir-Book" w:cs="Arial"/>
          <w:bCs/>
          <w:sz w:val="22"/>
          <w:szCs w:val="22"/>
        </w:rPr>
        <w:t>; se expide el:</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533ECB" w:rsidRPr="00AD165E" w:rsidRDefault="00533ECB" w:rsidP="000B3C73">
      <w:pPr>
        <w:pStyle w:val="Default"/>
        <w:spacing w:line="276" w:lineRule="auto"/>
        <w:jc w:val="center"/>
        <w:rPr>
          <w:rFonts w:ascii="Avenir-Book" w:hAnsi="Avenir-Book" w:cs="Arial"/>
          <w:b/>
          <w:bCs/>
          <w:color w:val="auto"/>
          <w:sz w:val="22"/>
          <w:szCs w:val="22"/>
        </w:rPr>
      </w:pPr>
    </w:p>
    <w:p w:rsidR="00763831" w:rsidRDefault="00763831" w:rsidP="000B3C73">
      <w:pPr>
        <w:pStyle w:val="Default"/>
        <w:spacing w:line="276" w:lineRule="auto"/>
        <w:jc w:val="center"/>
        <w:rPr>
          <w:rFonts w:ascii="Avenir-Book" w:hAnsi="Avenir-Book" w:cs="Arial"/>
          <w:b/>
          <w:bCs/>
          <w:color w:val="auto"/>
          <w:sz w:val="22"/>
          <w:szCs w:val="22"/>
        </w:rPr>
      </w:pPr>
    </w:p>
    <w:p w:rsidR="00AD165E" w:rsidRDefault="00AD165E" w:rsidP="000B3C73">
      <w:pPr>
        <w:pStyle w:val="Default"/>
        <w:spacing w:line="276" w:lineRule="auto"/>
        <w:jc w:val="center"/>
        <w:rPr>
          <w:rFonts w:ascii="Avenir-Book" w:hAnsi="Avenir-Book" w:cs="Arial"/>
          <w:b/>
          <w:bCs/>
          <w:color w:val="auto"/>
          <w:sz w:val="22"/>
          <w:szCs w:val="22"/>
        </w:rPr>
      </w:pPr>
    </w:p>
    <w:p w:rsidR="00AD165E" w:rsidRDefault="00AD165E" w:rsidP="000B3C73">
      <w:pPr>
        <w:pStyle w:val="Default"/>
        <w:spacing w:line="276" w:lineRule="auto"/>
        <w:jc w:val="center"/>
        <w:rPr>
          <w:rFonts w:ascii="Avenir-Book" w:hAnsi="Avenir-Book" w:cs="Arial"/>
          <w:b/>
          <w:bCs/>
          <w:color w:val="auto"/>
          <w:sz w:val="22"/>
          <w:szCs w:val="22"/>
        </w:rPr>
      </w:pPr>
    </w:p>
    <w:p w:rsidR="000B3C73" w:rsidRPr="00AD165E" w:rsidRDefault="000B3C73" w:rsidP="000B3C73">
      <w:pPr>
        <w:pStyle w:val="Default"/>
        <w:spacing w:line="276" w:lineRule="auto"/>
        <w:jc w:val="center"/>
        <w:rPr>
          <w:rFonts w:ascii="Avenir-Book" w:hAnsi="Avenir-Book" w:cs="Arial"/>
          <w:b/>
          <w:bCs/>
          <w:color w:val="auto"/>
          <w:sz w:val="22"/>
          <w:szCs w:val="22"/>
        </w:rPr>
      </w:pPr>
      <w:r w:rsidRPr="00AD165E">
        <w:rPr>
          <w:rFonts w:ascii="Avenir-Book" w:hAnsi="Avenir-Book" w:cs="Arial"/>
          <w:b/>
          <w:bCs/>
          <w:color w:val="auto"/>
          <w:sz w:val="22"/>
          <w:szCs w:val="22"/>
        </w:rPr>
        <w:t>PRESUPUESTO DE EGRESOS 2019</w:t>
      </w:r>
    </w:p>
    <w:p w:rsidR="000B3C73" w:rsidRPr="00AD165E" w:rsidRDefault="000B3C73" w:rsidP="000B3C73">
      <w:pPr>
        <w:pStyle w:val="Default"/>
        <w:spacing w:line="276" w:lineRule="auto"/>
        <w:jc w:val="center"/>
        <w:rPr>
          <w:rFonts w:ascii="Avenir-Book" w:hAnsi="Avenir-Book" w:cs="Arial"/>
          <w:color w:val="auto"/>
          <w:sz w:val="22"/>
          <w:szCs w:val="22"/>
        </w:rPr>
      </w:pPr>
      <w:r w:rsidRPr="00AD165E">
        <w:rPr>
          <w:rFonts w:ascii="Avenir-Book" w:hAnsi="Avenir-Book" w:cs="Arial"/>
          <w:b/>
          <w:bCs/>
          <w:color w:val="auto"/>
          <w:sz w:val="22"/>
          <w:szCs w:val="22"/>
        </w:rPr>
        <w:t>PARA EL MUNICIPIO DE PUEBLA</w:t>
      </w:r>
    </w:p>
    <w:p w:rsidR="000B3C73" w:rsidRPr="00AD165E" w:rsidRDefault="000B3C73" w:rsidP="00C616AB">
      <w:pPr>
        <w:autoSpaceDE w:val="0"/>
        <w:autoSpaceDN w:val="0"/>
        <w:adjustRightInd w:val="0"/>
        <w:rPr>
          <w:rFonts w:ascii="Avenir-Book" w:hAnsi="Avenir-Book" w:cs="Arial"/>
          <w:b/>
          <w:bCs/>
          <w:sz w:val="22"/>
          <w:szCs w:val="22"/>
          <w:lang w:eastAsia="es-MX"/>
        </w:rPr>
      </w:pPr>
    </w:p>
    <w:p w:rsidR="000B3C73" w:rsidRPr="00AD165E" w:rsidRDefault="002174E1" w:rsidP="000B3C73">
      <w:pPr>
        <w:autoSpaceDE w:val="0"/>
        <w:autoSpaceDN w:val="0"/>
        <w:adjustRightInd w:val="0"/>
        <w:jc w:val="center"/>
        <w:rPr>
          <w:rFonts w:ascii="Avenir-Book" w:hAnsi="Avenir-Book" w:cs="Arial"/>
          <w:b/>
          <w:bCs/>
          <w:sz w:val="22"/>
          <w:szCs w:val="22"/>
          <w:lang w:eastAsia="es-MX"/>
        </w:rPr>
      </w:pPr>
      <w:r>
        <w:rPr>
          <w:rFonts w:ascii="Avenir-Book" w:hAnsi="Avenir-Book" w:cs="Arial"/>
          <w:b/>
          <w:bCs/>
          <w:sz w:val="22"/>
          <w:szCs w:val="22"/>
          <w:lang w:eastAsia="es-MX"/>
        </w:rPr>
        <w:t>TÍTULO</w:t>
      </w:r>
      <w:r w:rsidR="000B3C73" w:rsidRPr="00AD165E">
        <w:rPr>
          <w:rFonts w:ascii="Avenir-Book" w:hAnsi="Avenir-Book" w:cs="Arial"/>
          <w:b/>
          <w:bCs/>
          <w:sz w:val="22"/>
          <w:szCs w:val="22"/>
          <w:lang w:eastAsia="es-MX"/>
        </w:rPr>
        <w:t xml:space="preserve"> PRIMERO</w:t>
      </w:r>
    </w:p>
    <w:p w:rsidR="000B3C73" w:rsidRPr="00AD165E" w:rsidRDefault="000B3C73" w:rsidP="000B3C73">
      <w:pPr>
        <w:pStyle w:val="Texto"/>
        <w:spacing w:after="0" w:line="276" w:lineRule="auto"/>
        <w:ind w:firstLine="0"/>
        <w:jc w:val="center"/>
        <w:rPr>
          <w:rFonts w:ascii="Avenir-Book" w:hAnsi="Avenir-Book" w:cs="Arial"/>
          <w:b/>
          <w:bCs/>
          <w:sz w:val="22"/>
          <w:szCs w:val="22"/>
        </w:rPr>
      </w:pPr>
      <w:r w:rsidRPr="00AD165E">
        <w:rPr>
          <w:rFonts w:ascii="Avenir-Book" w:hAnsi="Avenir-Book" w:cs="Arial"/>
          <w:b/>
          <w:bCs/>
          <w:sz w:val="22"/>
          <w:szCs w:val="22"/>
        </w:rPr>
        <w:t>DISPOSICIONES GENERALES</w:t>
      </w:r>
    </w:p>
    <w:p w:rsidR="000B3C73" w:rsidRPr="00AD165E" w:rsidRDefault="000B3C73" w:rsidP="000B3C73">
      <w:pPr>
        <w:pStyle w:val="Texto"/>
        <w:spacing w:after="0" w:line="276" w:lineRule="auto"/>
        <w:ind w:firstLine="0"/>
        <w:jc w:val="center"/>
        <w:rPr>
          <w:rFonts w:ascii="Avenir-Book" w:hAnsi="Avenir-Book" w:cs="Arial"/>
          <w:b/>
          <w:bCs/>
          <w:sz w:val="22"/>
          <w:szCs w:val="22"/>
        </w:rPr>
      </w:pPr>
    </w:p>
    <w:p w:rsidR="000B3C73" w:rsidRPr="00AD165E" w:rsidRDefault="000B3C73" w:rsidP="000B3C73">
      <w:pPr>
        <w:pStyle w:val="Texto"/>
        <w:spacing w:after="0" w:line="276" w:lineRule="auto"/>
        <w:ind w:firstLine="0"/>
        <w:jc w:val="center"/>
        <w:rPr>
          <w:rFonts w:ascii="Avenir-Book" w:hAnsi="Avenir-Book" w:cs="Arial"/>
          <w:b/>
          <w:bCs/>
          <w:sz w:val="22"/>
          <w:szCs w:val="22"/>
        </w:rPr>
      </w:pPr>
      <w:r w:rsidRPr="00AD165E">
        <w:rPr>
          <w:rFonts w:ascii="Avenir-Book" w:hAnsi="Avenir-Book" w:cs="Arial"/>
          <w:b/>
          <w:bCs/>
          <w:sz w:val="22"/>
          <w:szCs w:val="22"/>
        </w:rPr>
        <w:t>CAPÍTULO ÚNICO</w:t>
      </w:r>
    </w:p>
    <w:p w:rsidR="000B3C73" w:rsidRPr="00AD165E" w:rsidRDefault="000B3C73" w:rsidP="000B3C73">
      <w:pPr>
        <w:pStyle w:val="Texto"/>
        <w:spacing w:after="0" w:line="276" w:lineRule="auto"/>
        <w:ind w:firstLine="0"/>
        <w:jc w:val="left"/>
        <w:rPr>
          <w:rFonts w:ascii="Avenir-Book" w:hAnsi="Avenir-Book" w:cs="Arial"/>
          <w:b/>
          <w:bCs/>
          <w:sz w:val="22"/>
          <w:szCs w:val="22"/>
        </w:rPr>
      </w:pPr>
    </w:p>
    <w:p w:rsidR="00D40995" w:rsidRPr="00AD165E" w:rsidRDefault="000B3C73" w:rsidP="000B3C73">
      <w:pPr>
        <w:jc w:val="both"/>
        <w:rPr>
          <w:rFonts w:ascii="Avenir-Book" w:hAnsi="Avenir-Book" w:cs="Arial"/>
          <w:sz w:val="22"/>
          <w:szCs w:val="22"/>
        </w:rPr>
      </w:pPr>
      <w:r w:rsidRPr="00AD165E">
        <w:rPr>
          <w:rFonts w:ascii="Avenir-Book" w:hAnsi="Avenir-Book" w:cs="Arial"/>
          <w:b/>
          <w:sz w:val="22"/>
          <w:szCs w:val="22"/>
        </w:rPr>
        <w:t xml:space="preserve">Artículo 1.- </w:t>
      </w:r>
      <w:r w:rsidR="00D40995" w:rsidRPr="00AD165E">
        <w:rPr>
          <w:rFonts w:ascii="Avenir-Book" w:hAnsi="Avenir-Book" w:cs="Arial"/>
          <w:sz w:val="22"/>
          <w:szCs w:val="22"/>
        </w:rPr>
        <w:t>La presente disposición</w:t>
      </w:r>
      <w:r w:rsidRPr="00AD165E">
        <w:rPr>
          <w:rFonts w:ascii="Avenir-Book" w:hAnsi="Avenir-Book" w:cs="Arial"/>
          <w:sz w:val="22"/>
          <w:szCs w:val="22"/>
        </w:rPr>
        <w:t xml:space="preserve"> normativa tiene como objeto regular la asignación, aplicación, control y seguimiento del gasto público municipal, en apego a los lineamientos establecidos por la Ley General de Contabilidad Gubernamental, las normas emitidas por la Comisión Nacional de Armonización Contable, la Ley Orgánica Municipal, el Código Fiscal y Presupuestario para el Municipio de Puebla, en estrecha armonía con la Ley de Disciplina Financiera de las Entidades Federativas y los Municipios; salvaguardando en todo momento el destino de los recursos públicos bajo los criterios de racionalidad, austeridad, economía</w:t>
      </w:r>
      <w:r w:rsidR="00362450" w:rsidRPr="00AD165E">
        <w:rPr>
          <w:rFonts w:ascii="Avenir-Book" w:hAnsi="Avenir-Book" w:cs="Arial"/>
          <w:sz w:val="22"/>
          <w:szCs w:val="22"/>
        </w:rPr>
        <w:t>,</w:t>
      </w:r>
      <w:r w:rsidRPr="00AD165E">
        <w:rPr>
          <w:rFonts w:ascii="Avenir-Book" w:hAnsi="Avenir-Book" w:cs="Arial"/>
          <w:sz w:val="22"/>
          <w:szCs w:val="22"/>
        </w:rPr>
        <w:t xml:space="preserve"> honradez, eficiencia que se encuentran contenidos en la Constitución Política de los Estados Unidos Mexicanos, la Constitución Política del Estado de Puebla, entre otros ordenamientos contables y presupuestarios aplicables.</w:t>
      </w:r>
    </w:p>
    <w:p w:rsidR="00D27CB3" w:rsidRPr="00AD165E" w:rsidRDefault="00D27CB3" w:rsidP="000B3C73">
      <w:pPr>
        <w:jc w:val="both"/>
        <w:rPr>
          <w:rFonts w:ascii="Avenir-Book" w:hAnsi="Avenir-Book" w:cs="Arial"/>
          <w:sz w:val="22"/>
          <w:szCs w:val="22"/>
        </w:rPr>
      </w:pPr>
    </w:p>
    <w:p w:rsidR="000B3C73" w:rsidRPr="00AD165E" w:rsidRDefault="00111365" w:rsidP="000B3C73">
      <w:pPr>
        <w:jc w:val="both"/>
        <w:rPr>
          <w:rFonts w:ascii="Avenir-Book" w:hAnsi="Avenir-Book" w:cs="Arial"/>
          <w:sz w:val="22"/>
          <w:szCs w:val="22"/>
        </w:rPr>
      </w:pPr>
      <w:r w:rsidRPr="00AD165E">
        <w:rPr>
          <w:rFonts w:ascii="Avenir-Book" w:hAnsi="Avenir-Book" w:cs="Arial"/>
          <w:sz w:val="22"/>
          <w:szCs w:val="22"/>
        </w:rPr>
        <w:t>L</w:t>
      </w:r>
      <w:r w:rsidR="000B3C73" w:rsidRPr="00AD165E">
        <w:rPr>
          <w:rFonts w:ascii="Avenir-Book" w:hAnsi="Avenir-Book" w:cs="Arial"/>
          <w:sz w:val="22"/>
          <w:szCs w:val="22"/>
        </w:rPr>
        <w:t xml:space="preserve">a ejecución del gasto público </w:t>
      </w:r>
      <w:r w:rsidRPr="00AD165E">
        <w:rPr>
          <w:rFonts w:ascii="Avenir-Book" w:hAnsi="Avenir-Book" w:cs="Arial"/>
          <w:sz w:val="22"/>
          <w:szCs w:val="22"/>
        </w:rPr>
        <w:t>se encontrará</w:t>
      </w:r>
      <w:r w:rsidR="00533ECB" w:rsidRPr="00AD165E">
        <w:rPr>
          <w:rFonts w:ascii="Avenir-Book" w:hAnsi="Avenir-Book" w:cs="Arial"/>
          <w:sz w:val="22"/>
          <w:szCs w:val="22"/>
        </w:rPr>
        <w:t xml:space="preserve"> </w:t>
      </w:r>
      <w:r w:rsidR="00BC00EB" w:rsidRPr="00AD165E">
        <w:rPr>
          <w:rFonts w:ascii="Avenir-Book" w:hAnsi="Avenir-Book" w:cs="Arial"/>
          <w:sz w:val="22"/>
          <w:szCs w:val="22"/>
        </w:rPr>
        <w:t>regulada</w:t>
      </w:r>
      <w:r w:rsidR="000036F1" w:rsidRPr="00AD165E">
        <w:rPr>
          <w:rFonts w:ascii="Avenir-Book" w:hAnsi="Avenir-Book" w:cs="Arial"/>
          <w:sz w:val="22"/>
          <w:szCs w:val="22"/>
        </w:rPr>
        <w:t xml:space="preserve"> por objetivos y planes de acción trazados en </w:t>
      </w:r>
      <w:r w:rsidR="000B3C73" w:rsidRPr="00AD165E">
        <w:rPr>
          <w:rFonts w:ascii="Avenir-Book" w:hAnsi="Avenir-Book" w:cs="Arial"/>
          <w:sz w:val="22"/>
          <w:szCs w:val="22"/>
        </w:rPr>
        <w:t>el P</w:t>
      </w:r>
      <w:r w:rsidR="00625577" w:rsidRPr="00AD165E">
        <w:rPr>
          <w:rFonts w:ascii="Avenir-Book" w:hAnsi="Avenir-Book" w:cs="Arial"/>
          <w:sz w:val="22"/>
          <w:szCs w:val="22"/>
        </w:rPr>
        <w:t>lan Municipal de Desarrollo 2018 – 2021</w:t>
      </w:r>
      <w:r w:rsidR="000B3C73" w:rsidRPr="00AD165E">
        <w:rPr>
          <w:rFonts w:ascii="Avenir-Book" w:hAnsi="Avenir-Book" w:cs="Arial"/>
          <w:sz w:val="22"/>
          <w:szCs w:val="22"/>
        </w:rPr>
        <w:t>, tomando en cuenta los compromisos, proyectos y las metas contenid</w:t>
      </w:r>
      <w:r w:rsidR="00AD165E">
        <w:rPr>
          <w:rFonts w:ascii="Avenir-Book" w:hAnsi="Avenir-Book" w:cs="Arial"/>
          <w:sz w:val="22"/>
          <w:szCs w:val="22"/>
        </w:rPr>
        <w:t>a</w:t>
      </w:r>
      <w:r w:rsidR="000B3C73" w:rsidRPr="00AD165E">
        <w:rPr>
          <w:rFonts w:ascii="Avenir-Book" w:hAnsi="Avenir-Book" w:cs="Arial"/>
          <w:sz w:val="22"/>
          <w:szCs w:val="22"/>
        </w:rPr>
        <w:t>s en el mismo.</w:t>
      </w:r>
    </w:p>
    <w:p w:rsidR="000B3C73" w:rsidRPr="00AD165E" w:rsidRDefault="000B3C73" w:rsidP="000B3C73">
      <w:pPr>
        <w:jc w:val="both"/>
        <w:rPr>
          <w:rFonts w:ascii="Avenir-Book" w:hAnsi="Avenir-Book" w:cs="Arial"/>
          <w:sz w:val="22"/>
          <w:szCs w:val="22"/>
          <w:highlight w:val="yellow"/>
        </w:rPr>
      </w:pPr>
    </w:p>
    <w:p w:rsidR="00111365" w:rsidRPr="00AD165E" w:rsidRDefault="000B3C73" w:rsidP="00111365">
      <w:pPr>
        <w:pStyle w:val="Prrafodelista"/>
        <w:spacing w:after="0" w:line="240" w:lineRule="auto"/>
        <w:ind w:left="0"/>
        <w:jc w:val="both"/>
        <w:rPr>
          <w:rFonts w:ascii="Avenir-Book" w:hAnsi="Avenir-Book" w:cs="Arial"/>
        </w:rPr>
      </w:pPr>
      <w:r w:rsidRPr="00AD165E">
        <w:rPr>
          <w:rFonts w:ascii="Avenir-Book" w:hAnsi="Avenir-Book" w:cs="Arial"/>
        </w:rPr>
        <w:t>Será responsabilida</w:t>
      </w:r>
      <w:r w:rsidR="00625577" w:rsidRPr="00AD165E">
        <w:rPr>
          <w:rFonts w:ascii="Avenir-Book" w:hAnsi="Avenir-Book" w:cs="Arial"/>
        </w:rPr>
        <w:t xml:space="preserve">d de la Tesorería del H. </w:t>
      </w:r>
      <w:r w:rsidRPr="00AD165E">
        <w:rPr>
          <w:rFonts w:ascii="Avenir-Book" w:hAnsi="Avenir-Book" w:cs="Arial"/>
        </w:rPr>
        <w:t>Ayuntamiento del Municipio de Puebla</w:t>
      </w:r>
      <w:r w:rsidR="004842CA" w:rsidRPr="00AD165E">
        <w:rPr>
          <w:rFonts w:ascii="Avenir-Book" w:hAnsi="Avenir-Book" w:cs="Arial"/>
        </w:rPr>
        <w:t>,</w:t>
      </w:r>
      <w:r w:rsidRPr="00AD165E">
        <w:rPr>
          <w:rFonts w:ascii="Avenir-Book" w:hAnsi="Avenir-Book" w:cs="Arial"/>
        </w:rPr>
        <w:t xml:space="preserve"> a</w:t>
      </w:r>
      <w:r w:rsidR="001F162E" w:rsidRPr="00AD165E">
        <w:rPr>
          <w:rFonts w:ascii="Avenir-Book" w:hAnsi="Avenir-Book" w:cs="Arial"/>
        </w:rPr>
        <w:t xml:space="preserve">dministrar la Hacienda Pública </w:t>
      </w:r>
      <w:r w:rsidRPr="00AD165E">
        <w:rPr>
          <w:rFonts w:ascii="Avenir-Book" w:hAnsi="Avenir-Book" w:cs="Arial"/>
        </w:rPr>
        <w:t xml:space="preserve">y autorizar a las unidades ejecutoras de </w:t>
      </w:r>
      <w:r w:rsidR="001F162E" w:rsidRPr="00AD165E">
        <w:rPr>
          <w:rFonts w:ascii="Avenir-Book" w:hAnsi="Avenir-Book" w:cs="Arial"/>
        </w:rPr>
        <w:t xml:space="preserve">gasto sus recursos conforme a los principios </w:t>
      </w:r>
      <w:r w:rsidR="00256260" w:rsidRPr="00AD165E">
        <w:rPr>
          <w:rFonts w:ascii="Avenir-Book" w:hAnsi="Avenir-Book" w:cs="Arial"/>
        </w:rPr>
        <w:t>establecidos en el numeral 134 de la Constitución Política de los Estados Unidos Mexicanos.</w:t>
      </w:r>
    </w:p>
    <w:p w:rsidR="00111365" w:rsidRPr="00AD165E" w:rsidRDefault="00111365" w:rsidP="00111365">
      <w:pPr>
        <w:pStyle w:val="Prrafodelista"/>
        <w:spacing w:after="0" w:line="240" w:lineRule="auto"/>
        <w:ind w:left="0"/>
        <w:jc w:val="both"/>
        <w:rPr>
          <w:rFonts w:ascii="Avenir-Book" w:hAnsi="Avenir-Book" w:cs="Arial"/>
        </w:rPr>
      </w:pPr>
    </w:p>
    <w:p w:rsidR="000B3C73" w:rsidRPr="00AD165E" w:rsidRDefault="000B3C73" w:rsidP="00287AEE">
      <w:pPr>
        <w:pStyle w:val="Prrafodelista"/>
        <w:spacing w:after="0" w:line="240" w:lineRule="auto"/>
        <w:ind w:left="0"/>
        <w:jc w:val="both"/>
        <w:rPr>
          <w:rFonts w:ascii="Avenir-Book" w:hAnsi="Avenir-Book" w:cs="Arial"/>
        </w:rPr>
      </w:pPr>
      <w:r w:rsidRPr="00AD165E">
        <w:rPr>
          <w:rFonts w:ascii="Avenir-Book" w:hAnsi="Avenir-Book" w:cs="Arial"/>
        </w:rPr>
        <w:t xml:space="preserve">Será responsabilidad de la Contraloría Municipal </w:t>
      </w:r>
      <w:r w:rsidR="00625577" w:rsidRPr="00AD165E">
        <w:rPr>
          <w:rFonts w:ascii="Avenir-Book" w:hAnsi="Avenir-Book" w:cs="Arial"/>
        </w:rPr>
        <w:t xml:space="preserve">del H. </w:t>
      </w:r>
      <w:r w:rsidRPr="00AD165E">
        <w:rPr>
          <w:rFonts w:ascii="Avenir-Book" w:hAnsi="Avenir-Book" w:cs="Arial"/>
        </w:rPr>
        <w:t>Ayuntamiento del Municipio de Puebla, vigilar el ejercicio, uso debido y congruenc</w:t>
      </w:r>
      <w:r w:rsidR="00111365" w:rsidRPr="00AD165E">
        <w:rPr>
          <w:rFonts w:ascii="Avenir-Book" w:hAnsi="Avenir-Book" w:cs="Arial"/>
        </w:rPr>
        <w:t>ia del gasto público, impulsar</w:t>
      </w:r>
      <w:r w:rsidRPr="00AD165E">
        <w:rPr>
          <w:rFonts w:ascii="Avenir-Book" w:hAnsi="Avenir-Book" w:cs="Arial"/>
        </w:rPr>
        <w:t xml:space="preserve"> una gestión pública de calidad para contribuir con la transparencia y rendición de cuentas, en el ámbito de sus respectivas competencias y atribuciones, cumpliendo cabalmente con las disposiciones conferidas en el Presupuesto de Egresos.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287AEE">
      <w:pPr>
        <w:jc w:val="both"/>
        <w:rPr>
          <w:rFonts w:ascii="Avenir-Book" w:hAnsi="Avenir-Book" w:cs="Arial"/>
          <w:sz w:val="22"/>
          <w:szCs w:val="22"/>
        </w:rPr>
      </w:pPr>
      <w:r w:rsidRPr="00AD165E">
        <w:rPr>
          <w:rFonts w:ascii="Avenir-Book" w:hAnsi="Avenir-Book" w:cs="Arial"/>
          <w:sz w:val="22"/>
          <w:szCs w:val="22"/>
        </w:rPr>
        <w:t xml:space="preserve">La interpretación del presente documento para efectos </w:t>
      </w:r>
      <w:r w:rsidR="00AD165E" w:rsidRPr="00AD165E">
        <w:rPr>
          <w:rFonts w:ascii="Avenir-Book" w:hAnsi="Avenir-Book" w:cs="Arial"/>
          <w:sz w:val="22"/>
          <w:szCs w:val="22"/>
        </w:rPr>
        <w:t>administrativos</w:t>
      </w:r>
      <w:r w:rsidRPr="00AD165E">
        <w:rPr>
          <w:rFonts w:ascii="Avenir-Book" w:hAnsi="Avenir-Book" w:cs="Arial"/>
          <w:sz w:val="22"/>
          <w:szCs w:val="22"/>
        </w:rPr>
        <w:t xml:space="preserve"> corresponde a la Tesorería y al Órgano de Control y Evaluación Gubernamental del Municipio, conforme a las disposiciones y definiciones que establece la Ley Orgánica Municipal. Lo anterior, sin perjuicio de la interpretación que corresponda a otras autoridades en el ámbito de sus respectivas competencias.</w:t>
      </w:r>
    </w:p>
    <w:p w:rsidR="008239A3" w:rsidRPr="00AD165E" w:rsidRDefault="008239A3" w:rsidP="008239A3">
      <w:pPr>
        <w:pStyle w:val="Prrafodelista"/>
        <w:spacing w:after="0"/>
        <w:ind w:left="0"/>
        <w:jc w:val="both"/>
        <w:rPr>
          <w:rFonts w:ascii="Avenir-Book" w:hAnsi="Avenir-Book" w:cs="Arial"/>
        </w:rPr>
      </w:pPr>
      <w:r w:rsidRPr="00AD165E">
        <w:rPr>
          <w:rFonts w:ascii="Avenir-Book" w:hAnsi="Avenir-Book" w:cs="Arial"/>
          <w:b/>
        </w:rPr>
        <w:t xml:space="preserve">Artículo 2.- </w:t>
      </w:r>
      <w:r w:rsidRPr="00AD165E">
        <w:rPr>
          <w:rFonts w:ascii="Avenir-Book" w:hAnsi="Avenir-Book" w:cs="Arial"/>
        </w:rPr>
        <w:t>Para efectos del presente</w:t>
      </w:r>
      <w:r w:rsidR="000036F1" w:rsidRPr="00AD165E">
        <w:rPr>
          <w:rFonts w:ascii="Avenir-Book" w:hAnsi="Avenir-Book" w:cs="Arial"/>
        </w:rPr>
        <w:t xml:space="preserve"> documento</w:t>
      </w:r>
      <w:r w:rsidRPr="00AD165E">
        <w:rPr>
          <w:rFonts w:ascii="Avenir-Book" w:hAnsi="Avenir-Book" w:cs="Arial"/>
        </w:rPr>
        <w:t>, se entenderá por:</w:t>
      </w:r>
    </w:p>
    <w:p w:rsidR="008239A3" w:rsidRPr="00AD165E" w:rsidRDefault="008239A3" w:rsidP="008239A3">
      <w:pPr>
        <w:pStyle w:val="Prrafodelista"/>
        <w:spacing w:after="0"/>
        <w:ind w:left="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Adecuaciones Presupuestarias:</w:t>
      </w:r>
      <w:r w:rsidRPr="00AD165E">
        <w:rPr>
          <w:rFonts w:ascii="Avenir-Book" w:hAnsi="Avenir-Book" w:cs="Arial"/>
        </w:rPr>
        <w:t xml:space="preserve"> Las modificaciones a los calendarios presupuestales, las ampliaciones y reducciones al Presupuesto de Egresos del Municipio mediante movimientos compensados y las liberaciones anticipadas de recursos públicos calendarizados realizadas a través de la Tesorería Municipal, siempre que permitan un mejor cumplimiento de los objetivos y metas de los programas presupuestarios a cargo de los Ejecutores de Gasto.</w:t>
      </w:r>
    </w:p>
    <w:p w:rsidR="008239A3" w:rsidRPr="00AD165E" w:rsidRDefault="008239A3" w:rsidP="008239A3">
      <w:pPr>
        <w:pStyle w:val="Ttulo2"/>
        <w:spacing w:before="0" w:line="276" w:lineRule="auto"/>
        <w:rPr>
          <w:rFonts w:ascii="Avenir-Book" w:eastAsia="Calibri" w:hAnsi="Avenir-Book" w:cs="Arial"/>
          <w:bCs w:val="0"/>
          <w:color w:val="auto"/>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Adeudos de Ejercicios Fiscales Anteriores (ADEFAS):</w:t>
      </w:r>
      <w:r w:rsidRPr="00AD165E">
        <w:rPr>
          <w:rFonts w:ascii="Avenir-Book" w:hAnsi="Avenir-Book" w:cs="Arial"/>
        </w:rPr>
        <w:t xml:space="preserve"> Conjunto de obligaciones contraídas, devengadas, contabilizadas y autorizadas dentro de las asignaciones presupuestarias que no fueron liquidadas a la terminación o cierre del ejercicio fiscal correspondiente.</w:t>
      </w:r>
    </w:p>
    <w:p w:rsidR="008239A3" w:rsidRPr="00AD165E" w:rsidRDefault="008239A3" w:rsidP="008239A3">
      <w:pPr>
        <w:pStyle w:val="Prrafodelista"/>
        <w:spacing w:after="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Adquisiciones públicas: </w:t>
      </w:r>
      <w:r w:rsidR="00287AEE" w:rsidRPr="00AD165E">
        <w:rPr>
          <w:rFonts w:ascii="Avenir-Book" w:hAnsi="Avenir-Book" w:cs="Arial"/>
        </w:rPr>
        <w:t>T</w:t>
      </w:r>
      <w:r w:rsidRPr="00AD165E">
        <w:rPr>
          <w:rFonts w:ascii="Avenir-Book" w:hAnsi="Avenir-Book" w:cs="Arial"/>
        </w:rPr>
        <w: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rsidR="001F162E" w:rsidRPr="00AD165E" w:rsidRDefault="001F162E" w:rsidP="008239A3">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Ahorro presupuestario: </w:t>
      </w:r>
      <w:r w:rsidRPr="00AD165E">
        <w:rPr>
          <w:rFonts w:ascii="Avenir-Book" w:hAnsi="Avenir-Book" w:cs="Arial"/>
        </w:rPr>
        <w:t>Diferencia positiva que resulta de la comparación entre los ingresos y los gastos de una entidad, una vez que se hayan cumplido las metas establecidas.</w:t>
      </w:r>
    </w:p>
    <w:p w:rsidR="008239A3" w:rsidRPr="00AD165E" w:rsidRDefault="008239A3" w:rsidP="00390BDE">
      <w:pPr>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Amortización de la Deuda y Disminución de Pasivos:</w:t>
      </w:r>
      <w:r w:rsidRPr="00AD165E">
        <w:rPr>
          <w:rFonts w:ascii="Avenir-Book" w:hAnsi="Avenir-Book" w:cs="Arial"/>
        </w:rPr>
        <w:t xml:space="preserve"> Representa la cancelación mediante pago o cualquier forma por la cual se extinga la obligación principal de los pasivos contraídos por el Gobierno Municipal.</w:t>
      </w:r>
    </w:p>
    <w:p w:rsidR="008239A3" w:rsidRPr="00AD165E" w:rsidRDefault="008239A3" w:rsidP="008239A3">
      <w:pPr>
        <w:jc w:val="both"/>
        <w:rPr>
          <w:rFonts w:ascii="Avenir-Book" w:hAnsi="Avenir-Book" w:cs="Arial"/>
          <w:sz w:val="22"/>
          <w:szCs w:val="22"/>
        </w:rPr>
      </w:pPr>
    </w:p>
    <w:p w:rsidR="008239A3" w:rsidRPr="00AD165E" w:rsidRDefault="008239A3" w:rsidP="00AD165E">
      <w:pPr>
        <w:pStyle w:val="Prrafodelista"/>
        <w:numPr>
          <w:ilvl w:val="0"/>
          <w:numId w:val="3"/>
        </w:numPr>
        <w:spacing w:after="0" w:line="240" w:lineRule="auto"/>
        <w:jc w:val="both"/>
        <w:rPr>
          <w:rFonts w:ascii="Avenir-Book" w:hAnsi="Avenir-Book" w:cs="Arial"/>
        </w:rPr>
      </w:pPr>
      <w:r w:rsidRPr="00AD165E">
        <w:rPr>
          <w:rFonts w:ascii="Avenir-Book" w:hAnsi="Avenir-Book" w:cs="Arial"/>
          <w:b/>
        </w:rPr>
        <w:t>Asignaciones Presupuestales:</w:t>
      </w:r>
      <w:r w:rsidRPr="00AD165E">
        <w:rPr>
          <w:rFonts w:ascii="Avenir-Book" w:hAnsi="Avenir-Book" w:cs="Arial"/>
        </w:rPr>
        <w:t xml:space="preserve"> La ministración que, de los recursos públicos aprobados por el Cabildo mediant</w:t>
      </w:r>
      <w:r w:rsidR="00111365" w:rsidRPr="00AD165E">
        <w:rPr>
          <w:rFonts w:ascii="Avenir-Book" w:hAnsi="Avenir-Book" w:cs="Arial"/>
        </w:rPr>
        <w:t>e el Presupuesto de Egresos del</w:t>
      </w:r>
      <w:r w:rsidR="00AD165E">
        <w:rPr>
          <w:rFonts w:ascii="Avenir-Book" w:hAnsi="Avenir-Book" w:cs="Arial"/>
        </w:rPr>
        <w:t xml:space="preserve"> </w:t>
      </w:r>
      <w:r w:rsidRPr="00AD165E">
        <w:rPr>
          <w:rFonts w:ascii="Avenir-Book" w:hAnsi="Avenir-Book" w:cs="Arial"/>
        </w:rPr>
        <w:t>Municipio, realiza el Presidente Municipal a través de la Tesorería a los Ejecutores de Gasto.</w:t>
      </w:r>
    </w:p>
    <w:p w:rsidR="008239A3" w:rsidRPr="00AD165E" w:rsidRDefault="008239A3" w:rsidP="008239A3">
      <w:pPr>
        <w:pStyle w:val="Prrafodelista"/>
        <w:spacing w:after="0" w:line="240" w:lineRule="auto"/>
        <w:jc w:val="both"/>
        <w:rPr>
          <w:rFonts w:ascii="Avenir-Book" w:hAnsi="Avenir-Book" w:cs="Arial"/>
        </w:rPr>
      </w:pPr>
    </w:p>
    <w:p w:rsidR="008239A3" w:rsidRPr="00AD165E" w:rsidRDefault="008239A3" w:rsidP="0094029A">
      <w:pPr>
        <w:pStyle w:val="Sinespaciado"/>
        <w:numPr>
          <w:ilvl w:val="0"/>
          <w:numId w:val="3"/>
        </w:numPr>
        <w:spacing w:before="100"/>
        <w:jc w:val="both"/>
        <w:rPr>
          <w:rFonts w:ascii="Avenir-Book" w:hAnsi="Avenir-Book" w:cs="Arial"/>
        </w:rPr>
      </w:pPr>
      <w:r w:rsidRPr="00AD165E">
        <w:rPr>
          <w:rFonts w:ascii="Avenir-Book" w:hAnsi="Avenir-Book" w:cs="Arial"/>
          <w:b/>
          <w:bCs/>
        </w:rPr>
        <w:t xml:space="preserve">Año Fiscal: </w:t>
      </w:r>
      <w:r w:rsidRPr="00AD165E">
        <w:rPr>
          <w:rFonts w:ascii="Avenir-Book" w:hAnsi="Avenir-Book" w:cs="Arial"/>
        </w:rPr>
        <w:t xml:space="preserve">Período en el cual se produce la ejecución presupuestaria de los ingresos, egresos y el financiamiento. Corresponde al año calendario, tiene una duración de doce (12) meses e inicia el primero (1) de enero y finaliza el treinta y uno (31) de diciembre del mismo año. </w:t>
      </w:r>
    </w:p>
    <w:p w:rsidR="008239A3" w:rsidRPr="00AD165E" w:rsidRDefault="008239A3" w:rsidP="00390BDE">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Ayudas:</w:t>
      </w:r>
      <w:r w:rsidRPr="00AD165E">
        <w:rPr>
          <w:rFonts w:ascii="Avenir-Book" w:hAnsi="Avenir-Book" w:cs="Arial"/>
        </w:rPr>
        <w:t xml:space="preserve"> Las aportaciones de recursos públicos en numerario o en especie otorgadas por el Gobierno Municipal con base en los objetivos y metas de los programas presupuestarios.</w:t>
      </w:r>
    </w:p>
    <w:p w:rsidR="008239A3" w:rsidRPr="00AD165E" w:rsidRDefault="008239A3" w:rsidP="008239A3">
      <w:pPr>
        <w:pStyle w:val="Prrafodelista"/>
        <w:rPr>
          <w:rFonts w:ascii="Avenir-Book" w:hAnsi="Avenir-Book" w:cs="Arial"/>
          <w:b/>
        </w:rPr>
      </w:pPr>
    </w:p>
    <w:p w:rsidR="008239A3" w:rsidRPr="00AD165E" w:rsidRDefault="008239A3" w:rsidP="0094029A">
      <w:pPr>
        <w:pStyle w:val="Prrafodelista"/>
        <w:numPr>
          <w:ilvl w:val="0"/>
          <w:numId w:val="3"/>
        </w:numPr>
        <w:spacing w:after="120" w:line="240" w:lineRule="auto"/>
        <w:jc w:val="both"/>
        <w:rPr>
          <w:rFonts w:ascii="Avenir-Book" w:hAnsi="Avenir-Book" w:cs="Arial"/>
        </w:rPr>
      </w:pPr>
      <w:r w:rsidRPr="00AD165E">
        <w:rPr>
          <w:rFonts w:ascii="Avenir-Book" w:hAnsi="Avenir-Book" w:cs="Arial"/>
          <w:b/>
        </w:rPr>
        <w:t>Ayuntamiento:</w:t>
      </w:r>
      <w:r w:rsidR="00287AEE" w:rsidRPr="00AD165E">
        <w:rPr>
          <w:rFonts w:ascii="Avenir-Book" w:hAnsi="Avenir-Book" w:cs="Arial"/>
        </w:rPr>
        <w:t xml:space="preserve"> C</w:t>
      </w:r>
      <w:r w:rsidRPr="00AD165E">
        <w:rPr>
          <w:rFonts w:ascii="Avenir-Book" w:hAnsi="Avenir-Book" w:cs="Arial"/>
        </w:rPr>
        <w:t xml:space="preserve">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 </w:t>
      </w:r>
    </w:p>
    <w:p w:rsidR="008239A3" w:rsidRPr="00AD165E" w:rsidRDefault="008239A3" w:rsidP="00C3206C">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120" w:line="240" w:lineRule="auto"/>
        <w:jc w:val="both"/>
        <w:rPr>
          <w:rFonts w:ascii="Avenir-Book" w:hAnsi="Avenir-Book" w:cs="Arial"/>
        </w:rPr>
      </w:pPr>
      <w:r w:rsidRPr="00AD165E">
        <w:rPr>
          <w:rFonts w:ascii="Avenir-Book" w:hAnsi="Avenir-Book" w:cs="Arial"/>
          <w:b/>
        </w:rPr>
        <w:t xml:space="preserve">Balance Presupuestario Sostenible: </w:t>
      </w:r>
      <w:r w:rsidRPr="00AD165E">
        <w:rPr>
          <w:rFonts w:ascii="Avenir-Book" w:hAnsi="Avenir-Book" w:cs="Arial"/>
        </w:rPr>
        <w:t xml:space="preserve">Es considerado el Gasto Total propuesto por el Ayuntamiento del Municipio en el Proyecto de Presupuesto de Egresos, aquel que sea aprobado y el que se ejerza en el año fiscal que corresponde; es decir, que al final del ejercicio y bajo el momento contable devengado dicho balance </w:t>
      </w:r>
      <w:r w:rsidR="00AD165E" w:rsidRPr="00AD165E">
        <w:rPr>
          <w:rFonts w:ascii="Avenir-Book" w:hAnsi="Avenir-Book" w:cs="Arial"/>
        </w:rPr>
        <w:t>sea mayor</w:t>
      </w:r>
      <w:r w:rsidRPr="00AD165E">
        <w:rPr>
          <w:rFonts w:ascii="Avenir-Book" w:hAnsi="Avenir-Book" w:cs="Arial"/>
        </w:rPr>
        <w:t xml:space="preserve"> o igual a cero.</w:t>
      </w:r>
    </w:p>
    <w:p w:rsidR="008239A3" w:rsidRPr="00AD165E" w:rsidRDefault="008239A3" w:rsidP="008239A3">
      <w:pPr>
        <w:pStyle w:val="Prrafodelista"/>
        <w:spacing w:after="120" w:line="264" w:lineRule="auto"/>
        <w:jc w:val="both"/>
        <w:rPr>
          <w:rFonts w:ascii="Avenir-Book" w:hAnsi="Avenir-Book" w:cs="Arial"/>
        </w:rPr>
      </w:pPr>
    </w:p>
    <w:p w:rsidR="008239A3" w:rsidRPr="00AD165E" w:rsidRDefault="008239A3" w:rsidP="005A53CC">
      <w:pPr>
        <w:pStyle w:val="Prrafodelista"/>
        <w:numPr>
          <w:ilvl w:val="0"/>
          <w:numId w:val="3"/>
        </w:numPr>
        <w:spacing w:after="0" w:line="240" w:lineRule="auto"/>
        <w:jc w:val="both"/>
        <w:rPr>
          <w:rFonts w:ascii="Avenir-Book" w:hAnsi="Avenir-Book" w:cs="Arial"/>
        </w:rPr>
      </w:pPr>
      <w:r w:rsidRPr="00AD165E">
        <w:rPr>
          <w:rFonts w:ascii="Avenir-Book" w:hAnsi="Avenir-Book" w:cs="Arial"/>
          <w:b/>
          <w:bCs/>
        </w:rPr>
        <w:t>Clasificación Administrativa:</w:t>
      </w:r>
      <w:r w:rsidR="00287AEE" w:rsidRPr="00AD165E">
        <w:rPr>
          <w:rFonts w:ascii="Avenir-Book" w:hAnsi="Avenir-Book" w:cs="Arial"/>
          <w:bCs/>
        </w:rPr>
        <w:t xml:space="preserve"> C</w:t>
      </w:r>
      <w:r w:rsidRPr="00AD165E">
        <w:rPr>
          <w:rFonts w:ascii="Avenir-Book" w:hAnsi="Avenir-Book" w:cs="Arial"/>
          <w:bCs/>
        </w:rPr>
        <w:t xml:space="preserve">lasificación presupuestal que </w:t>
      </w:r>
      <w:r w:rsidRPr="00AD165E">
        <w:rPr>
          <w:rFonts w:ascii="Avenir-Book" w:hAnsi="Avenir-Book" w:cs="Arial"/>
        </w:rPr>
        <w:t>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w:t>
      </w:r>
      <w:r w:rsidR="00C3206C" w:rsidRPr="00AD165E">
        <w:rPr>
          <w:rFonts w:ascii="Avenir-Book" w:hAnsi="Avenir-Book" w:cs="Arial"/>
        </w:rPr>
        <w:t xml:space="preserve">e delimitar con </w:t>
      </w:r>
      <w:r w:rsidRPr="00AD165E">
        <w:rPr>
          <w:rFonts w:ascii="Avenir-Book" w:hAnsi="Avenir-Book" w:cs="Arial"/>
        </w:rPr>
        <w:t xml:space="preserve">precisión el ámbito de Sector Público de cada orden de gobierno y por ende los alcances de su probable responsabilidad fiscal y cuasi fiscal. </w:t>
      </w:r>
    </w:p>
    <w:p w:rsidR="008239A3" w:rsidRPr="00AD165E" w:rsidRDefault="008239A3" w:rsidP="008239A3">
      <w:pPr>
        <w:jc w:val="both"/>
        <w:rPr>
          <w:rFonts w:ascii="Avenir-Book" w:hAnsi="Avenir-Book" w:cs="Arial"/>
          <w:b/>
          <w:sz w:val="22"/>
          <w:szCs w:val="22"/>
        </w:rPr>
      </w:pPr>
    </w:p>
    <w:p w:rsidR="00C3206C" w:rsidRPr="00AD165E" w:rsidRDefault="008239A3" w:rsidP="008239A3">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Económica: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C3206C" w:rsidRPr="00AD165E" w:rsidRDefault="00C3206C" w:rsidP="008239A3">
      <w:pPr>
        <w:autoSpaceDE w:val="0"/>
        <w:autoSpaceDN w:val="0"/>
        <w:adjustRightInd w:val="0"/>
        <w:jc w:val="both"/>
        <w:rPr>
          <w:rFonts w:ascii="Avenir-Book" w:hAnsi="Avenir-Book" w:cs="Arial"/>
          <w:sz w:val="22"/>
          <w:szCs w:val="22"/>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bCs/>
        </w:rPr>
      </w:pPr>
      <w:r w:rsidRPr="00AD165E">
        <w:rPr>
          <w:rFonts w:ascii="Avenir-Book" w:hAnsi="Avenir-Book" w:cs="Arial"/>
          <w:b/>
        </w:rPr>
        <w:t xml:space="preserve">Clasificación Funcional del Gasto: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que agrupa los gastos según los propósitos u objetivos socioeconómicos que persiguen los diferentes entes públicos. </w:t>
      </w:r>
      <w:r w:rsidRPr="00AD165E">
        <w:rPr>
          <w:rFonts w:ascii="Avenir-Book" w:hAnsi="Avenir-Book"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rsidR="008239A3" w:rsidRPr="00AD165E" w:rsidRDefault="008239A3" w:rsidP="008239A3">
      <w:pPr>
        <w:pStyle w:val="Prrafodelista"/>
        <w:autoSpaceDE w:val="0"/>
        <w:autoSpaceDN w:val="0"/>
        <w:adjustRightInd w:val="0"/>
        <w:spacing w:after="0"/>
        <w:ind w:left="0"/>
        <w:jc w:val="both"/>
        <w:rPr>
          <w:rFonts w:ascii="Avenir-Book" w:hAnsi="Avenir-Book" w:cs="Arial"/>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Clasificación por Fuente de Financiamiento:</w:t>
      </w:r>
      <w:r w:rsidR="00287AEE" w:rsidRPr="00AD165E">
        <w:rPr>
          <w:rFonts w:ascii="Avenir-Book" w:hAnsi="Avenir-Book" w:cs="Arial"/>
        </w:rPr>
        <w:t xml:space="preserve"> C</w:t>
      </w:r>
      <w:r w:rsidRPr="00AD165E">
        <w:rPr>
          <w:rFonts w:ascii="Avenir-Book" w:hAnsi="Avenir-Book" w:cs="Arial"/>
        </w:rPr>
        <w:t>lasificación presupuestal que consiste en presentar los gastos públicos según los agregados genéricos de los recursos empleados para su financiamiento. Esta clasificación permite identificar las fuentes u orígenes de los ingresos que financian los egresos y precisar la orientación específica de cada fuente a efecto de controlar su aplicación.</w:t>
      </w:r>
    </w:p>
    <w:p w:rsidR="008239A3" w:rsidRPr="00AD165E" w:rsidRDefault="008239A3" w:rsidP="008239A3">
      <w:pPr>
        <w:autoSpaceDE w:val="0"/>
        <w:autoSpaceDN w:val="0"/>
        <w:adjustRightInd w:val="0"/>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Clasificador por Objeto del Gasto: </w:t>
      </w:r>
      <w:r w:rsidR="00287AEE" w:rsidRPr="00AD165E">
        <w:rPr>
          <w:rFonts w:ascii="Avenir-Book" w:hAnsi="Avenir-Book" w:cs="Arial"/>
        </w:rPr>
        <w:t>R</w:t>
      </w:r>
      <w:r w:rsidRPr="00AD165E">
        <w:rPr>
          <w:rFonts w:ascii="Avenir-Book" w:hAnsi="Avenir-Book" w:cs="Arial"/>
        </w:rPr>
        <w:t xml:space="preserve">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Clasificación por Tipo de Gasto: </w:t>
      </w:r>
      <w:r w:rsidR="00287AEE" w:rsidRPr="00AD165E">
        <w:rPr>
          <w:rFonts w:ascii="Avenir-Book" w:hAnsi="Avenir-Book" w:cs="Arial"/>
          <w:bCs/>
        </w:rPr>
        <w:t>C</w:t>
      </w:r>
      <w:r w:rsidRPr="00AD165E">
        <w:rPr>
          <w:rFonts w:ascii="Avenir-Book" w:hAnsi="Avenir-Book" w:cs="Arial"/>
          <w:bCs/>
        </w:rPr>
        <w:t xml:space="preserve">lasificación presupuestal que </w:t>
      </w:r>
      <w:r w:rsidRPr="00AD165E">
        <w:rPr>
          <w:rFonts w:ascii="Avenir-Book" w:hAnsi="Avenir-Book" w:cs="Arial"/>
        </w:rPr>
        <w:t>relaciona las transacciones públicas que generan gastos con los grandes agregados de la clasificación económica presentándolos en Corriente, de Capital, Amortización de la deuda y disminución de pasivos, pensiones y jubilaciones y participaciones.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Programática: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que establece la clasificación de los programas presupuestarios de los entes públicos, que permitirá organizar, en forma representativa y homogénea, las asignaciones de recursos de los programas presupuestarios. </w:t>
      </w:r>
    </w:p>
    <w:p w:rsidR="00786586" w:rsidRPr="00AD165E" w:rsidRDefault="00786586" w:rsidP="008239A3">
      <w:pPr>
        <w:autoSpaceDE w:val="0"/>
        <w:autoSpaceDN w:val="0"/>
        <w:adjustRightInd w:val="0"/>
        <w:jc w:val="both"/>
        <w:rPr>
          <w:rFonts w:ascii="Avenir-Book" w:hAnsi="Avenir-Book" w:cs="Arial"/>
          <w:sz w:val="22"/>
          <w:szCs w:val="22"/>
        </w:rPr>
      </w:pPr>
    </w:p>
    <w:p w:rsidR="001F162E" w:rsidRPr="00AD165E" w:rsidRDefault="008239A3" w:rsidP="008239A3">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Déficit Presupuestario: </w:t>
      </w:r>
      <w:r w:rsidR="00287AEE" w:rsidRPr="00AD165E">
        <w:rPr>
          <w:rFonts w:ascii="Avenir-Book" w:hAnsi="Avenir-Book" w:cs="Arial"/>
        </w:rPr>
        <w:t>E</w:t>
      </w:r>
      <w:r w:rsidRPr="00AD165E">
        <w:rPr>
          <w:rFonts w:ascii="Avenir-Book" w:hAnsi="Avenir-Book" w:cs="Arial"/>
        </w:rPr>
        <w:t>l financiamiento que cubre la diferencia entre los montos previstos en la Ley de Ingresos Municipal y el Presupuesto de Egresos Municipal.</w:t>
      </w:r>
    </w:p>
    <w:p w:rsidR="001F162E" w:rsidRPr="00AD165E" w:rsidRDefault="001F162E" w:rsidP="008239A3">
      <w:pPr>
        <w:autoSpaceDE w:val="0"/>
        <w:autoSpaceDN w:val="0"/>
        <w:adjustRightInd w:val="0"/>
        <w:jc w:val="both"/>
        <w:rPr>
          <w:rFonts w:ascii="Avenir-Book" w:hAnsi="Avenir-Book" w:cs="Arial"/>
          <w:sz w:val="22"/>
          <w:szCs w:val="22"/>
        </w:rPr>
      </w:pPr>
    </w:p>
    <w:p w:rsidR="00C3206C" w:rsidRPr="00AD165E" w:rsidRDefault="008239A3" w:rsidP="008239A3">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Deuda Pública Municipal: </w:t>
      </w:r>
      <w:r w:rsidR="00287AEE" w:rsidRPr="00AD165E">
        <w:rPr>
          <w:rFonts w:ascii="Avenir-Book" w:hAnsi="Avenir-Book" w:cs="Arial"/>
        </w:rPr>
        <w:t>L</w:t>
      </w:r>
      <w:r w:rsidRPr="00AD165E">
        <w:rPr>
          <w:rFonts w:ascii="Avenir-Book" w:hAnsi="Avenir-Book" w:cs="Arial"/>
        </w:rPr>
        <w:t>a que contraigan los municipios, por conducto de sus ayuntamientos, como responsables directos o como garantes, avalistas, deudores solidarios, subsidiarios o sustitutos de las entidades de la administración pública paramunicipal a su cargo.</w:t>
      </w:r>
    </w:p>
    <w:p w:rsidR="00C3206C" w:rsidRPr="00AD165E" w:rsidRDefault="00C3206C"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Economías:</w:t>
      </w:r>
      <w:r w:rsidR="00287AEE" w:rsidRPr="00AD165E">
        <w:rPr>
          <w:rFonts w:ascii="Avenir-Book" w:hAnsi="Avenir-Book" w:cs="Arial"/>
        </w:rPr>
        <w:t xml:space="preserve"> L</w:t>
      </w:r>
      <w:r w:rsidRPr="00AD165E">
        <w:rPr>
          <w:rFonts w:ascii="Avenir-Book" w:hAnsi="Avenir-Book" w:cs="Arial"/>
        </w:rPr>
        <w:t>os remanentes de recursos no devengados del presupuesto modificado, derivados de la obtención de mejores condiciones en la adquisición de bienes y servicios.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Sinespaciado"/>
        <w:numPr>
          <w:ilvl w:val="0"/>
          <w:numId w:val="3"/>
        </w:numPr>
        <w:spacing w:before="100"/>
        <w:jc w:val="both"/>
        <w:rPr>
          <w:rFonts w:ascii="Avenir-Book" w:hAnsi="Avenir-Book" w:cs="Arial"/>
        </w:rPr>
      </w:pPr>
      <w:r w:rsidRPr="00AD165E">
        <w:rPr>
          <w:rFonts w:ascii="Avenir-Book" w:hAnsi="Avenir-Book" w:cs="Arial"/>
          <w:b/>
          <w:bCs/>
        </w:rPr>
        <w:t xml:space="preserve">Gasto: </w:t>
      </w:r>
      <w:r w:rsidRPr="00AD165E">
        <w:rPr>
          <w:rFonts w:ascii="Avenir-Book" w:hAnsi="Avenir-Book" w:cs="Arial"/>
        </w:rPr>
        <w:t>Es toda aquella erogación que llevan a cabo los entes económicos para adquirir los medios necesarios en la realización de sus actividades de producción de bienes o servicios, ya sean públicos o privados.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Aprobado:</w:t>
      </w:r>
      <w:r w:rsidRPr="00AD165E">
        <w:rPr>
          <w:rFonts w:ascii="Avenir-Book" w:hAnsi="Avenir-Book" w:cs="Arial"/>
        </w:rPr>
        <w:t xml:space="preserve"> Es el que refleja las asignaciones presupuestarias anuales comprometidas en el Presupuesto de Egresos.</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de Capital:</w:t>
      </w:r>
      <w:r w:rsidRPr="00AD165E">
        <w:rPr>
          <w:rFonts w:ascii="Avenir-Book" w:hAnsi="Avenir-Book" w:cs="Arial"/>
        </w:rPr>
        <w:t xml:space="preserve"> son los gastos destinados a la inversión de capital y las transferencias a los otros componentes institucionales del sistema económico que se efectúan para financiar gastos con tal propósito.</w:t>
      </w:r>
    </w:p>
    <w:p w:rsidR="008239A3" w:rsidRPr="00AD165E" w:rsidRDefault="008239A3" w:rsidP="00C3206C">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Corriente:</w:t>
      </w:r>
      <w:r w:rsidR="00287AEE" w:rsidRPr="00AD165E">
        <w:rPr>
          <w:rFonts w:ascii="Avenir-Book" w:hAnsi="Avenir-Book" w:cs="Arial"/>
        </w:rPr>
        <w:t xml:space="preserve"> S</w:t>
      </w:r>
      <w:r w:rsidRPr="00AD165E">
        <w:rPr>
          <w:rFonts w:ascii="Avenir-Book" w:hAnsi="Avenir-Book" w:cs="Arial"/>
        </w:rPr>
        <w:t>on los gastos de consumo y/o de operación, el arrendamiento de la propiedad y las transferencias otorgadas a los otros componentes institucionales del sistema económico para financiar gastos de esas características.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Devengado:</w:t>
      </w:r>
      <w:r w:rsidR="00287AEE" w:rsidRPr="00AD165E">
        <w:rPr>
          <w:rFonts w:ascii="Avenir-Book" w:hAnsi="Avenir-Book" w:cs="Arial"/>
        </w:rPr>
        <w:t xml:space="preserve"> E</w:t>
      </w:r>
      <w:r w:rsidRPr="00AD165E">
        <w:rPr>
          <w:rFonts w:ascii="Avenir-Book" w:hAnsi="Avenir-Book" w:cs="Arial"/>
        </w:rPr>
        <w:t>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Ejercido:</w:t>
      </w:r>
      <w:r w:rsidR="00287AEE" w:rsidRPr="00AD165E">
        <w:rPr>
          <w:rFonts w:ascii="Avenir-Book" w:hAnsi="Avenir-Book" w:cs="Arial"/>
        </w:rPr>
        <w:t xml:space="preserve"> E</w:t>
      </w:r>
      <w:r w:rsidRPr="00AD165E">
        <w:rPr>
          <w:rFonts w:ascii="Avenir-Book" w:hAnsi="Avenir-Book" w:cs="Arial"/>
        </w:rPr>
        <w:t>s el momento contable que refleja la emisión de una cuenta por liquidar certificada o documento equivalente debidamente aprobado por la autoridad competente.</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Modificado:</w:t>
      </w:r>
      <w:r w:rsidR="00287AEE" w:rsidRPr="00AD165E">
        <w:rPr>
          <w:rFonts w:ascii="Avenir-Book" w:hAnsi="Avenir-Book" w:cs="Arial"/>
        </w:rPr>
        <w:t xml:space="preserve"> E</w:t>
      </w:r>
      <w:r w:rsidRPr="00AD165E">
        <w:rPr>
          <w:rFonts w:ascii="Avenir-Book" w:hAnsi="Avenir-Book" w:cs="Arial"/>
        </w:rPr>
        <w:t>s el momento contable que refleja la asignación presupuestaria que resulta de incorporar, en su caso, las adecuaciones presupuestarias al presupuesto aprobado.</w:t>
      </w:r>
    </w:p>
    <w:p w:rsidR="00786586" w:rsidRPr="00AD165E" w:rsidRDefault="00786586"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Pagado:</w:t>
      </w:r>
      <w:r w:rsidR="00287AEE" w:rsidRPr="00AD165E">
        <w:rPr>
          <w:rFonts w:ascii="Avenir-Book" w:hAnsi="Avenir-Book" w:cs="Arial"/>
        </w:rPr>
        <w:t xml:space="preserve"> E</w:t>
      </w:r>
      <w:r w:rsidRPr="00AD165E">
        <w:rPr>
          <w:rFonts w:ascii="Avenir-Book" w:hAnsi="Avenir-Book" w:cs="Arial"/>
        </w:rPr>
        <w:t>s el momento contable que refleja la cancelación total o parcial de las obligaciones de pago, que se concreta mediante el desembolso de efectivo o cualquier otro medio de pago.</w:t>
      </w:r>
    </w:p>
    <w:p w:rsidR="008239A3" w:rsidRPr="00AD165E" w:rsidRDefault="008239A3" w:rsidP="00C3206C">
      <w:pPr>
        <w:jc w:val="both"/>
        <w:rPr>
          <w:rFonts w:ascii="Avenir-Book" w:hAnsi="Avenir-Book" w:cs="Arial"/>
          <w:sz w:val="22"/>
          <w:szCs w:val="22"/>
        </w:rPr>
      </w:pPr>
    </w:p>
    <w:p w:rsidR="00C3206C" w:rsidRPr="00AD165E" w:rsidRDefault="008239A3" w:rsidP="00786586">
      <w:pPr>
        <w:pStyle w:val="Prrafodelista"/>
        <w:numPr>
          <w:ilvl w:val="0"/>
          <w:numId w:val="3"/>
        </w:numPr>
        <w:spacing w:after="0" w:line="240" w:lineRule="auto"/>
        <w:jc w:val="both"/>
        <w:rPr>
          <w:rFonts w:ascii="Avenir-Book" w:hAnsi="Avenir-Book" w:cs="Arial"/>
          <w:color w:val="000000"/>
        </w:rPr>
      </w:pPr>
      <w:r w:rsidRPr="00AD165E">
        <w:rPr>
          <w:rFonts w:ascii="Avenir-Book" w:hAnsi="Avenir-Book" w:cs="Arial"/>
          <w:b/>
          <w:color w:val="000000"/>
        </w:rPr>
        <w:t>Gasto Programable:</w:t>
      </w:r>
      <w:r w:rsidRPr="00AD165E">
        <w:rPr>
          <w:rFonts w:ascii="Avenir-Book" w:hAnsi="Avenir-Book" w:cs="Arial"/>
          <w:color w:val="000000"/>
        </w:rPr>
        <w:t xml:space="preserve"> Los recursos que se destinan al cumplimiento de los fines y funciones propias del Municipio, por lo cual están directamente relacionados con los programas a cargo de los Ejecutores de Gasto previamente establecidos para alcanzar los objetivos y metas, que tienen un efecto directo en la actividad económica y social.</w:t>
      </w:r>
    </w:p>
    <w:p w:rsidR="00C3206C" w:rsidRPr="00AD165E" w:rsidRDefault="00C3206C" w:rsidP="00C3206C">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de libre disposición: </w:t>
      </w:r>
      <w:r w:rsidR="00287AEE" w:rsidRPr="00AD165E">
        <w:rPr>
          <w:rFonts w:ascii="Avenir-Book" w:hAnsi="Avenir-Book" w:cs="Arial"/>
        </w:rPr>
        <w:t>L</w:t>
      </w:r>
      <w:r w:rsidRPr="00AD165E">
        <w:rPr>
          <w:rFonts w:ascii="Avenir-Book" w:hAnsi="Avenir-Book" w:cs="Arial"/>
        </w:rPr>
        <w:t xml:space="preserve">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Estimados: </w:t>
      </w:r>
      <w:r w:rsidR="00287AEE" w:rsidRPr="00AD165E">
        <w:rPr>
          <w:rFonts w:ascii="Avenir-Book" w:hAnsi="Avenir-Book" w:cs="Arial"/>
        </w:rPr>
        <w:t>S</w:t>
      </w:r>
      <w:r w:rsidRPr="00AD165E">
        <w:rPr>
          <w:rFonts w:ascii="Avenir-Book" w:hAnsi="Avenir-Book" w:cs="Arial"/>
        </w:rPr>
        <w:t>on los que se aprueban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8239A3" w:rsidRPr="00AD165E" w:rsidRDefault="008239A3" w:rsidP="00287AEE">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Ingresos Excedentes:</w:t>
      </w:r>
      <w:r w:rsidR="008F391F" w:rsidRPr="00AD165E">
        <w:rPr>
          <w:rFonts w:ascii="Avenir-Book" w:hAnsi="Avenir-Book" w:cs="Arial"/>
        </w:rPr>
        <w:t xml:space="preserve"> L</w:t>
      </w:r>
      <w:r w:rsidRPr="00AD165E">
        <w:rPr>
          <w:rFonts w:ascii="Avenir-Book" w:hAnsi="Avenir-Book" w:cs="Arial"/>
        </w:rPr>
        <w:t>os recursos que durante el ejercicio fiscal se obtienen en exceso  de los aprobados en la Ley de Ingresos Municipal.</w:t>
      </w:r>
    </w:p>
    <w:p w:rsidR="008239A3" w:rsidRPr="00AD165E" w:rsidRDefault="008239A3" w:rsidP="008239A3">
      <w:pPr>
        <w:pStyle w:val="Prrafodelista"/>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Recaudados: </w:t>
      </w:r>
      <w:r w:rsidR="008F391F" w:rsidRPr="00AD165E">
        <w:rPr>
          <w:rFonts w:ascii="Avenir-Book" w:hAnsi="Avenir-Book" w:cs="Arial"/>
        </w:rPr>
        <w:t>E</w:t>
      </w:r>
      <w:r w:rsidRPr="00AD165E">
        <w:rPr>
          <w:rFonts w:ascii="Avenir-Book" w:hAnsi="Avenir-Book"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w:t>
      </w:r>
      <w:r w:rsidR="00C3206C" w:rsidRPr="00AD165E">
        <w:rPr>
          <w:rFonts w:ascii="Avenir-Book" w:hAnsi="Avenir-Book" w:cs="Arial"/>
        </w:rPr>
        <w:t xml:space="preserve">ios, además de participaciones, </w:t>
      </w:r>
      <w:r w:rsidRPr="00AD165E">
        <w:rPr>
          <w:rFonts w:ascii="Avenir-Book" w:hAnsi="Avenir-Book" w:cs="Arial"/>
        </w:rPr>
        <w:t>aportaciones, recursos convenidos, y otros ingresos por parte de los entes públicos.</w:t>
      </w:r>
    </w:p>
    <w:p w:rsidR="008239A3" w:rsidRPr="00AD165E" w:rsidRDefault="008239A3" w:rsidP="00C3206C">
      <w:pPr>
        <w:pStyle w:val="Prrafodelista"/>
        <w:spacing w:after="0" w:line="240" w:lineRule="auto"/>
        <w:ind w:left="0"/>
        <w:jc w:val="both"/>
        <w:rPr>
          <w:rFonts w:ascii="Avenir-Book" w:hAnsi="Avenir-Book" w:cs="Arial"/>
        </w:rPr>
      </w:pPr>
    </w:p>
    <w:p w:rsidR="008239A3" w:rsidRPr="00AD165E" w:rsidRDefault="008239A3" w:rsidP="0094029A">
      <w:pPr>
        <w:pStyle w:val="Sinespaciado"/>
        <w:numPr>
          <w:ilvl w:val="0"/>
          <w:numId w:val="3"/>
        </w:numPr>
        <w:spacing w:line="276" w:lineRule="auto"/>
        <w:jc w:val="both"/>
        <w:rPr>
          <w:rFonts w:ascii="Avenir-Book" w:hAnsi="Avenir-Book" w:cs="Arial"/>
        </w:rPr>
      </w:pPr>
      <w:r w:rsidRPr="00AD165E">
        <w:rPr>
          <w:rFonts w:ascii="Avenir-Book" w:hAnsi="Avenir-Book" w:cs="Arial"/>
          <w:b/>
        </w:rPr>
        <w:t>LA:</w:t>
      </w:r>
      <w:r w:rsidR="008F391F" w:rsidRPr="00AD165E">
        <w:rPr>
          <w:rFonts w:ascii="Avenir-Book" w:hAnsi="Avenir-Book" w:cs="Arial"/>
        </w:rPr>
        <w:t xml:space="preserve"> L</w:t>
      </w:r>
      <w:r w:rsidRPr="00AD165E">
        <w:rPr>
          <w:rFonts w:ascii="Avenir-Book" w:hAnsi="Avenir-Book" w:cs="Arial"/>
        </w:rPr>
        <w:t>ínea de acción</w:t>
      </w:r>
      <w:r w:rsidRPr="00AD165E">
        <w:rPr>
          <w:rFonts w:ascii="Avenir-Book" w:hAnsi="Avenir-Book" w:cs="Arial"/>
          <w:b/>
        </w:rPr>
        <w:t>.</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Obras Públicas:</w:t>
      </w:r>
      <w:r w:rsidR="008F391F" w:rsidRPr="00AD165E">
        <w:rPr>
          <w:rFonts w:ascii="Avenir-Book" w:hAnsi="Avenir-Book" w:cs="Arial"/>
        </w:rPr>
        <w:t xml:space="preserve"> L</w:t>
      </w:r>
      <w:r w:rsidRPr="00AD165E">
        <w:rPr>
          <w:rFonts w:ascii="Avenir-Book" w:hAnsi="Avenir-Book" w:cs="Arial"/>
        </w:rPr>
        <w:t>os trabajos que tengan por objeto construir, instalar, ampliar, adecuar, remodelar, restaurar, conservar, mantener, modificar y demoler bienes inmuebles.</w:t>
      </w:r>
    </w:p>
    <w:p w:rsidR="008239A3" w:rsidRPr="00AD165E" w:rsidRDefault="008239A3" w:rsidP="00287AEE">
      <w:pPr>
        <w:jc w:val="both"/>
        <w:rPr>
          <w:rFonts w:ascii="Avenir-Book" w:hAnsi="Avenir-Book" w:cs="Arial"/>
          <w:sz w:val="22"/>
          <w:szCs w:val="22"/>
        </w:rPr>
      </w:pPr>
    </w:p>
    <w:p w:rsidR="008239A3" w:rsidRPr="00AD165E" w:rsidRDefault="008239A3" w:rsidP="006813EB">
      <w:pPr>
        <w:pStyle w:val="Sinespaciado"/>
        <w:numPr>
          <w:ilvl w:val="0"/>
          <w:numId w:val="3"/>
        </w:numPr>
        <w:spacing w:before="100"/>
        <w:jc w:val="both"/>
        <w:rPr>
          <w:rFonts w:ascii="Avenir-Book" w:hAnsi="Avenir-Book" w:cs="Arial"/>
        </w:rPr>
      </w:pPr>
      <w:r w:rsidRPr="00AD165E">
        <w:rPr>
          <w:rFonts w:ascii="Avenir-Book" w:hAnsi="Avenir-Book" w:cs="Arial"/>
          <w:b/>
          <w:bCs/>
        </w:rPr>
        <w:t xml:space="preserve">Presupuesto: </w:t>
      </w:r>
      <w:r w:rsidRPr="00AD165E">
        <w:rPr>
          <w:rFonts w:ascii="Avenir-Book" w:hAnsi="Avenir-Book"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rsidR="008239A3" w:rsidRPr="00AD165E" w:rsidRDefault="008239A3" w:rsidP="008239A3">
      <w:pPr>
        <w:rPr>
          <w:rFonts w:ascii="Avenir-Book" w:hAnsi="Avenir-Book" w:cs="Arial"/>
          <w:sz w:val="22"/>
          <w:szCs w:val="22"/>
        </w:rPr>
      </w:pPr>
    </w:p>
    <w:p w:rsidR="008239A3" w:rsidRPr="00AD165E" w:rsidRDefault="008239A3" w:rsidP="00786586">
      <w:pPr>
        <w:pStyle w:val="Sinespaciado"/>
        <w:numPr>
          <w:ilvl w:val="0"/>
          <w:numId w:val="3"/>
        </w:numPr>
        <w:spacing w:before="100"/>
        <w:jc w:val="both"/>
        <w:rPr>
          <w:rFonts w:ascii="Avenir-Book" w:hAnsi="Avenir-Book" w:cs="Arial"/>
          <w:b/>
          <w:bCs/>
        </w:rPr>
      </w:pPr>
      <w:r w:rsidRPr="00AD165E">
        <w:rPr>
          <w:rFonts w:ascii="Avenir-Book" w:hAnsi="Avenir-Book" w:cs="Arial"/>
          <w:b/>
          <w:bCs/>
        </w:rPr>
        <w:t xml:space="preserve">Presupuesto Base Resultados (PBR): </w:t>
      </w:r>
      <w:r w:rsidRPr="00AD165E">
        <w:rPr>
          <w:rFonts w:ascii="Avenir-Book" w:hAnsi="Avenir-Book"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8239A3" w:rsidRPr="00AD165E" w:rsidRDefault="008239A3" w:rsidP="008239A3">
      <w:pPr>
        <w:jc w:val="both"/>
        <w:rPr>
          <w:rFonts w:ascii="Avenir-Book" w:hAnsi="Avenir-Book" w:cs="Arial"/>
          <w:sz w:val="22"/>
          <w:szCs w:val="22"/>
          <w:lang w:val="es-MX"/>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Programas y proyectos de inversión:</w:t>
      </w:r>
      <w:r w:rsidR="008F391F" w:rsidRPr="00AD165E">
        <w:rPr>
          <w:rFonts w:ascii="Avenir-Book" w:hAnsi="Avenir-Book" w:cs="Arial"/>
        </w:rPr>
        <w:t xml:space="preserve"> A</w:t>
      </w:r>
      <w:r w:rsidRPr="00AD165E">
        <w:rPr>
          <w:rFonts w:ascii="Avenir-Book" w:hAnsi="Avenir-Book" w:cs="Arial"/>
        </w:rPr>
        <w:t>cciones que implican erogaciones de gasto de capital destinadas tanto a obra pública en infraestructura como a la adquisici</w:t>
      </w:r>
      <w:r w:rsidR="00C3206C" w:rsidRPr="00AD165E">
        <w:rPr>
          <w:rFonts w:ascii="Avenir-Book" w:hAnsi="Avenir-Book" w:cs="Arial"/>
        </w:rPr>
        <w:t xml:space="preserve">ón y modificación de inmuebles, </w:t>
      </w:r>
      <w:r w:rsidRPr="00AD165E">
        <w:rPr>
          <w:rFonts w:ascii="Avenir-Book" w:hAnsi="Avenir-Book" w:cs="Arial"/>
        </w:rPr>
        <w:t>adquisiciones de bienes muebles asociadas a estos programas, y rehabilitaciones que impliquen un aumento en la capacidad o vida útil de los activos de infraestructura e inmuebles.</w:t>
      </w:r>
    </w:p>
    <w:p w:rsidR="008239A3" w:rsidRPr="00AD165E" w:rsidRDefault="008239A3" w:rsidP="008239A3">
      <w:pPr>
        <w:jc w:val="both"/>
        <w:rPr>
          <w:rFonts w:ascii="Avenir-Book" w:hAnsi="Avenir-Book" w:cs="Arial"/>
          <w:sz w:val="22"/>
          <w:szCs w:val="22"/>
        </w:rPr>
      </w:pPr>
    </w:p>
    <w:p w:rsidR="008239A3" w:rsidRPr="00AD165E" w:rsidRDefault="00287AEE" w:rsidP="0094029A">
      <w:pPr>
        <w:pStyle w:val="Sinespaciado"/>
        <w:numPr>
          <w:ilvl w:val="0"/>
          <w:numId w:val="3"/>
        </w:numPr>
        <w:spacing w:before="100"/>
        <w:jc w:val="both"/>
        <w:rPr>
          <w:rFonts w:ascii="Avenir-Book" w:hAnsi="Avenir-Book" w:cs="Arial"/>
        </w:rPr>
      </w:pPr>
      <w:r w:rsidRPr="00AD165E">
        <w:rPr>
          <w:rFonts w:ascii="Avenir-Book" w:hAnsi="Avenir-Book" w:cs="Arial"/>
          <w:b/>
          <w:bCs/>
        </w:rPr>
        <w:t>Programa P</w:t>
      </w:r>
      <w:r w:rsidR="008239A3" w:rsidRPr="00AD165E">
        <w:rPr>
          <w:rFonts w:ascii="Avenir-Book" w:hAnsi="Avenir-Book" w:cs="Arial"/>
          <w:b/>
          <w:bCs/>
        </w:rPr>
        <w:t>resupuestario:</w:t>
      </w:r>
      <w:r w:rsidR="008239A3" w:rsidRPr="00AD165E">
        <w:rPr>
          <w:rFonts w:ascii="Avenir-Book" w:hAnsi="Avenir-Book"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rsidR="008239A3" w:rsidRPr="00AD165E" w:rsidRDefault="008239A3" w:rsidP="00287AEE">
      <w:pPr>
        <w:jc w:val="both"/>
        <w:rPr>
          <w:rFonts w:ascii="Avenir-Book" w:hAnsi="Avenir-Book" w:cs="Arial"/>
          <w:sz w:val="22"/>
          <w:szCs w:val="22"/>
        </w:rPr>
      </w:pPr>
    </w:p>
    <w:p w:rsidR="00287AEE"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Proyecto para Prestación de Servicios: </w:t>
      </w:r>
      <w:r w:rsidR="00287AEE" w:rsidRPr="00AD165E">
        <w:rPr>
          <w:rFonts w:ascii="Avenir-Book" w:hAnsi="Avenir-Book" w:cs="Arial"/>
        </w:rPr>
        <w:t>C</w:t>
      </w:r>
      <w:r w:rsidRPr="00AD165E">
        <w:rPr>
          <w:rFonts w:ascii="Avenir-Book" w:hAnsi="Avenir-Book" w:cs="Arial"/>
        </w:rPr>
        <w:t>onjunto de acciones que se requieran implementar al amparo de un contrato y conforme a lo dispuesto por Ley de Proyectos para Prestación de Servicios del Estado Libre y Soberano de Puebla, sea a celebrarse o celebrado.</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Remuneración:</w:t>
      </w:r>
      <w:r w:rsidR="008F391F" w:rsidRPr="00AD165E">
        <w:rPr>
          <w:rFonts w:ascii="Avenir-Book" w:hAnsi="Avenir-Book" w:cs="Arial"/>
        </w:rPr>
        <w:t xml:space="preserve"> T</w:t>
      </w:r>
      <w:r w:rsidRPr="00AD165E">
        <w:rPr>
          <w:rFonts w:ascii="Avenir-Book" w:hAnsi="Avenir-Book" w:cs="Arial"/>
        </w:rPr>
        <w: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Servicio público</w:t>
      </w:r>
      <w:r w:rsidR="008F391F" w:rsidRPr="00AD165E">
        <w:rPr>
          <w:rFonts w:ascii="Avenir-Book" w:hAnsi="Avenir-Book" w:cs="Arial"/>
        </w:rPr>
        <w:t>: A</w:t>
      </w:r>
      <w:r w:rsidRPr="00AD165E">
        <w:rPr>
          <w:rFonts w:ascii="Avenir-Book" w:hAnsi="Avenir-Book" w:cs="Arial"/>
        </w:rPr>
        <w:t>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8239A3" w:rsidRPr="00AD165E" w:rsidRDefault="008239A3" w:rsidP="008239A3">
      <w:pPr>
        <w:jc w:val="both"/>
        <w:rPr>
          <w:rFonts w:ascii="Avenir-Book" w:hAnsi="Avenir-Book" w:cs="Arial"/>
          <w:sz w:val="22"/>
          <w:szCs w:val="22"/>
        </w:rPr>
      </w:pPr>
    </w:p>
    <w:p w:rsidR="008239A3" w:rsidRPr="00AD165E" w:rsidRDefault="00BC5360" w:rsidP="00CA4270">
      <w:pPr>
        <w:pStyle w:val="Prrafodelista"/>
        <w:numPr>
          <w:ilvl w:val="0"/>
          <w:numId w:val="3"/>
        </w:numPr>
        <w:spacing w:after="0" w:line="240" w:lineRule="auto"/>
        <w:jc w:val="both"/>
        <w:rPr>
          <w:rFonts w:ascii="Avenir-Book" w:hAnsi="Avenir-Book" w:cs="Arial"/>
        </w:rPr>
      </w:pPr>
      <w:r w:rsidRPr="00AD165E">
        <w:rPr>
          <w:rFonts w:ascii="Avenir-Book" w:hAnsi="Avenir-Book" w:cs="Arial"/>
          <w:b/>
        </w:rPr>
        <w:t>Servicios Relacionados con las Obras P</w:t>
      </w:r>
      <w:r w:rsidR="008239A3" w:rsidRPr="00AD165E">
        <w:rPr>
          <w:rFonts w:ascii="Avenir-Book" w:hAnsi="Avenir-Book" w:cs="Arial"/>
          <w:b/>
        </w:rPr>
        <w:t>úblicas:</w:t>
      </w:r>
      <w:r w:rsidRPr="00AD165E">
        <w:rPr>
          <w:rFonts w:ascii="Avenir-Book" w:hAnsi="Avenir-Book" w:cs="Arial"/>
        </w:rPr>
        <w:t xml:space="preserve"> L</w:t>
      </w:r>
      <w:r w:rsidR="008239A3" w:rsidRPr="00AD165E">
        <w:rPr>
          <w:rFonts w:ascii="Avenir-Book" w:hAnsi="Avenir-Book" w:cs="Arial"/>
        </w:rPr>
        <w:t>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Puebla; la dirección o supervisión de la ejecución de las obras y los estudios que tengan por objeto rehabilitar, corregir o incrementar la eficiencia de las instalaciones.</w:t>
      </w:r>
    </w:p>
    <w:p w:rsidR="008239A3" w:rsidRPr="00AD165E" w:rsidRDefault="008239A3" w:rsidP="008239A3">
      <w:pPr>
        <w:jc w:val="both"/>
        <w:rPr>
          <w:rFonts w:ascii="Avenir-Book" w:hAnsi="Avenir-Book" w:cs="Arial"/>
          <w:sz w:val="22"/>
          <w:szCs w:val="22"/>
          <w:lang w:val="es-MX"/>
        </w:rPr>
      </w:pPr>
    </w:p>
    <w:p w:rsidR="008239A3" w:rsidRPr="00AD165E" w:rsidRDefault="008239A3" w:rsidP="001F162E">
      <w:pPr>
        <w:pStyle w:val="Prrafodelista"/>
        <w:numPr>
          <w:ilvl w:val="0"/>
          <w:numId w:val="3"/>
        </w:numPr>
        <w:spacing w:after="0" w:line="240" w:lineRule="auto"/>
        <w:jc w:val="both"/>
        <w:rPr>
          <w:rFonts w:ascii="Avenir-Book" w:hAnsi="Avenir-Book" w:cs="Arial"/>
        </w:rPr>
      </w:pPr>
      <w:r w:rsidRPr="00AD165E">
        <w:rPr>
          <w:rFonts w:ascii="Avenir-Book" w:hAnsi="Avenir-Book" w:cs="Arial"/>
          <w:b/>
        </w:rPr>
        <w:t>Sistema de Evaluación del Desempeño:</w:t>
      </w:r>
      <w:r w:rsidR="00BC5360" w:rsidRPr="00AD165E">
        <w:rPr>
          <w:rFonts w:ascii="Avenir-Book" w:hAnsi="Avenir-Book" w:cs="Arial"/>
        </w:rPr>
        <w:t xml:space="preserve"> E</w:t>
      </w:r>
      <w:r w:rsidRPr="00AD165E">
        <w:rPr>
          <w:rFonts w:ascii="Avenir-Book" w:hAnsi="Avenir-Book" w:cs="Arial"/>
        </w:rPr>
        <w:t>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Subsidios y Subvenciones: </w:t>
      </w:r>
      <w:r w:rsidR="00BC5360" w:rsidRPr="00AD165E">
        <w:rPr>
          <w:rFonts w:ascii="Avenir-Book" w:hAnsi="Avenir-Book" w:cs="Arial"/>
        </w:rPr>
        <w:t>A</w:t>
      </w:r>
      <w:r w:rsidRPr="00AD165E">
        <w:rPr>
          <w:rFonts w:ascii="Avenir-Book" w:hAnsi="Avenir-Book"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strike/>
        </w:rPr>
      </w:pPr>
      <w:r w:rsidRPr="00AD165E">
        <w:rPr>
          <w:rFonts w:ascii="Avenir-Book" w:hAnsi="Avenir-Book" w:cs="Arial"/>
          <w:b/>
        </w:rPr>
        <w:t xml:space="preserve">Subejercicio de Gasto: </w:t>
      </w:r>
      <w:r w:rsidR="00BC5360" w:rsidRPr="00AD165E">
        <w:rPr>
          <w:rFonts w:ascii="Avenir-Book" w:hAnsi="Avenir-Book" w:cs="Arial"/>
        </w:rPr>
        <w:t>L</w:t>
      </w:r>
      <w:r w:rsidRPr="00AD165E">
        <w:rPr>
          <w:rFonts w:ascii="Avenir-Book" w:hAnsi="Avenir-Book" w:cs="Arial"/>
        </w:rPr>
        <w:t xml:space="preserve">as disponibilidades presupuestarias que resultan </w:t>
      </w:r>
      <w:r w:rsidR="002174E1" w:rsidRPr="00AD165E">
        <w:rPr>
          <w:rFonts w:ascii="Avenir-Book" w:hAnsi="Avenir-Book" w:cs="Arial"/>
        </w:rPr>
        <w:t>del incumplimiento</w:t>
      </w:r>
      <w:r w:rsidRPr="00AD165E">
        <w:rPr>
          <w:rFonts w:ascii="Avenir-Book" w:hAnsi="Avenir-Book" w:cs="Arial"/>
        </w:rPr>
        <w:t xml:space="preserve"> de las metas contenidas en los programas.</w:t>
      </w:r>
    </w:p>
    <w:p w:rsidR="00BC5360" w:rsidRPr="00AD165E" w:rsidRDefault="00BC5360" w:rsidP="00C3206C">
      <w:pPr>
        <w:jc w:val="both"/>
        <w:rPr>
          <w:rFonts w:ascii="Avenir-Book" w:hAnsi="Avenir-Book" w:cs="Arial"/>
          <w:strike/>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Trabajadores de Base</w:t>
      </w:r>
      <w:r w:rsidRPr="00AD165E">
        <w:rPr>
          <w:rFonts w:ascii="Avenir-Book" w:hAnsi="Avenir-Book" w:cs="Arial"/>
        </w:rPr>
        <w:t>: Son trabajadores de base, aquellos que realizan funciones predominantemente operativas, manuales o administrativas básicas en puestos que implican una necesidad permanente para la Administración, de acuerdo con el presupuesto de egresos autorizado y que reúnen los requisitos establecidos en esta Ley.</w:t>
      </w:r>
    </w:p>
    <w:p w:rsidR="008239A3" w:rsidRPr="00AD165E" w:rsidRDefault="008239A3" w:rsidP="008239A3">
      <w:pPr>
        <w:pStyle w:val="Prrafodelista"/>
        <w:spacing w:after="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Trabajadores de Confianza</w:t>
      </w:r>
      <w:r w:rsidRPr="00AD165E">
        <w:rPr>
          <w:rFonts w:ascii="Avenir-Book" w:hAnsi="Avenir-Book" w:cs="Arial"/>
        </w:rPr>
        <w:t>: Son trabajadores de confianza: El Secretario del Honorable Ayuntamiento, el Tesorero, el Contralor, Subcontralores,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rsidR="0058293B" w:rsidRPr="00AD165E" w:rsidRDefault="0058293B" w:rsidP="006813EB">
      <w:pPr>
        <w:rPr>
          <w:rFonts w:ascii="Avenir-Book" w:hAnsi="Avenir-Book"/>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Cualquier otro término no contemplado en el presente artículo</w:t>
      </w:r>
      <w:r w:rsidRPr="00AD165E">
        <w:rPr>
          <w:rFonts w:ascii="Avenir-Book" w:hAnsi="Avenir-Book" w:cs="Arial"/>
        </w:rPr>
        <w:t>, se deberá entender conforme al glosario de la Ley General de Contabilidad Gubernamental y las demás leyes aplicables</w:t>
      </w:r>
      <w:r w:rsidR="00533ECB" w:rsidRPr="00AD165E">
        <w:rPr>
          <w:rFonts w:ascii="Avenir-Book" w:hAnsi="Avenir-Book" w:cs="Arial"/>
        </w:rPr>
        <w:t xml:space="preserve"> </w:t>
      </w:r>
      <w:r w:rsidRPr="00AD165E">
        <w:rPr>
          <w:rFonts w:ascii="Avenir-Book" w:hAnsi="Avenir-Book" w:cs="Arial"/>
        </w:rPr>
        <w:t>e</w:t>
      </w:r>
      <w:r w:rsidR="001B3004" w:rsidRPr="00AD165E">
        <w:rPr>
          <w:rFonts w:ascii="Avenir-Book" w:hAnsi="Avenir-Book" w:cs="Arial"/>
        </w:rPr>
        <w:t>n</w:t>
      </w:r>
      <w:r w:rsidRPr="00AD165E">
        <w:rPr>
          <w:rFonts w:ascii="Avenir-Book" w:hAnsi="Avenir-Book" w:cs="Arial"/>
        </w:rPr>
        <w:t xml:space="preserve"> la materia.</w:t>
      </w:r>
    </w:p>
    <w:p w:rsidR="001B3004" w:rsidRPr="00AD165E" w:rsidRDefault="001B3004" w:rsidP="000B3C73">
      <w:pPr>
        <w:jc w:val="both"/>
        <w:rPr>
          <w:rFonts w:ascii="Avenir-Book" w:hAnsi="Avenir-Book" w:cs="Arial"/>
          <w:b/>
          <w:sz w:val="22"/>
          <w:szCs w:val="22"/>
        </w:rPr>
      </w:pPr>
    </w:p>
    <w:p w:rsidR="000B3C73" w:rsidRPr="00AD165E" w:rsidRDefault="008239A3" w:rsidP="000B3C73">
      <w:pPr>
        <w:jc w:val="both"/>
        <w:rPr>
          <w:rFonts w:ascii="Avenir-Book" w:hAnsi="Avenir-Book" w:cs="Arial"/>
          <w:sz w:val="22"/>
          <w:szCs w:val="22"/>
        </w:rPr>
      </w:pPr>
      <w:r w:rsidRPr="00AD165E">
        <w:rPr>
          <w:rFonts w:ascii="Avenir-Book" w:hAnsi="Avenir-Book" w:cs="Arial"/>
          <w:b/>
          <w:sz w:val="22"/>
          <w:szCs w:val="22"/>
        </w:rPr>
        <w:t>Artículo 3</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Los recursos financieros que se dispongan en ejercicio del Presupuesto de Egresos, se administrarán </w:t>
      </w:r>
      <w:r w:rsidR="004842CA" w:rsidRPr="00AD165E">
        <w:rPr>
          <w:rFonts w:ascii="Avenir-Book" w:hAnsi="Avenir-Book" w:cs="Arial"/>
          <w:sz w:val="22"/>
          <w:szCs w:val="22"/>
        </w:rPr>
        <w:t xml:space="preserve">conforme a lo dispuesto en </w:t>
      </w:r>
      <w:r w:rsidR="009C47EC" w:rsidRPr="00AD165E">
        <w:rPr>
          <w:rFonts w:ascii="Avenir-Book" w:hAnsi="Avenir-Book" w:cs="Arial"/>
          <w:sz w:val="22"/>
          <w:szCs w:val="22"/>
        </w:rPr>
        <w:t>el numeral</w:t>
      </w:r>
      <w:r w:rsidR="000B3C73" w:rsidRPr="00AD165E">
        <w:rPr>
          <w:rFonts w:ascii="Avenir-Book" w:hAnsi="Avenir-Book" w:cs="Arial"/>
          <w:sz w:val="22"/>
          <w:szCs w:val="22"/>
        </w:rPr>
        <w:t xml:space="preserve"> 134, de la Constitución Política de los Estados Unidos Mexicanos y 108, de la Constitución Política del Estado Libr</w:t>
      </w:r>
      <w:r w:rsidR="00625577" w:rsidRPr="00AD165E">
        <w:rPr>
          <w:rFonts w:ascii="Avenir-Book" w:hAnsi="Avenir-Book" w:cs="Arial"/>
          <w:sz w:val="22"/>
          <w:szCs w:val="22"/>
        </w:rPr>
        <w:t>e y Soberano de Puebla, debiendo</w:t>
      </w:r>
      <w:r w:rsidR="000B3C73" w:rsidRPr="00AD165E">
        <w:rPr>
          <w:rFonts w:ascii="Avenir-Book" w:hAnsi="Avenir-Book" w:cs="Arial"/>
          <w:sz w:val="22"/>
          <w:szCs w:val="22"/>
        </w:rPr>
        <w:t xml:space="preserve"> ajustarse a los principios de honestidad, legalidad, optimización de recursos, racionalidad e interés público y social, </w:t>
      </w:r>
      <w:r w:rsidR="000036F1" w:rsidRPr="00AD165E">
        <w:rPr>
          <w:rFonts w:ascii="Avenir-Book" w:hAnsi="Avenir-Book" w:cs="Arial"/>
          <w:sz w:val="22"/>
          <w:szCs w:val="22"/>
        </w:rPr>
        <w:t xml:space="preserve">para la adecuada aplicación de los recursos, en términos de lo siguiente: </w:t>
      </w:r>
    </w:p>
    <w:p w:rsidR="008226BC" w:rsidRPr="00AD165E" w:rsidRDefault="008226BC" w:rsidP="000B3C73">
      <w:pPr>
        <w:jc w:val="both"/>
        <w:rPr>
          <w:rFonts w:ascii="Avenir-Book" w:hAnsi="Avenir-Book" w:cs="Arial"/>
          <w:sz w:val="22"/>
          <w:szCs w:val="22"/>
        </w:rPr>
      </w:pPr>
    </w:p>
    <w:p w:rsidR="00CA5E2C"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No se otorgarán remuneraciones, pagos o percepciones distintas a</w:t>
      </w:r>
      <w:r w:rsidR="00D11EEB" w:rsidRPr="00AD165E">
        <w:rPr>
          <w:rFonts w:ascii="Avenir-Book" w:hAnsi="Avenir-Book" w:cs="Arial"/>
          <w:lang w:val="es-ES_tradnl"/>
        </w:rPr>
        <w:t>l</w:t>
      </w:r>
      <w:r w:rsidRPr="00AD165E">
        <w:rPr>
          <w:rFonts w:ascii="Avenir-Book" w:hAnsi="Avenir-Book" w:cs="Arial"/>
          <w:lang w:val="es-ES_tradnl"/>
        </w:rPr>
        <w:t xml:space="preserve"> ingreso </w:t>
      </w:r>
      <w:r w:rsidR="00D11EEB" w:rsidRPr="00AD165E">
        <w:rPr>
          <w:rFonts w:ascii="Avenir-Book" w:hAnsi="Avenir-Book" w:cs="Arial"/>
          <w:lang w:val="es-ES_tradnl"/>
        </w:rPr>
        <w:t>de la Presidenta</w:t>
      </w:r>
      <w:r w:rsidRPr="00AD165E">
        <w:rPr>
          <w:rFonts w:ascii="Avenir-Book" w:hAnsi="Avenir-Book" w:cs="Arial"/>
          <w:lang w:val="es-ES_tradnl"/>
        </w:rPr>
        <w:t xml:space="preserve"> Municipal, Regidores y Síndico, así como a los integran</w:t>
      </w:r>
      <w:r w:rsidR="00D11EEB" w:rsidRPr="00AD165E">
        <w:rPr>
          <w:rFonts w:ascii="Avenir-Book" w:hAnsi="Avenir-Book" w:cs="Arial"/>
          <w:lang w:val="es-ES_tradnl"/>
        </w:rPr>
        <w:t>tes de los Consejos Municipales, establecido en el Presupuesto de Egresos.</w:t>
      </w:r>
    </w:p>
    <w:p w:rsidR="008239A3" w:rsidRPr="00AD165E" w:rsidRDefault="008239A3" w:rsidP="000B3C73">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Queda prohibido a los servidores públicos municipales obtener por el desempeño de su función, beneficios adicionales a las prestaciones que conforme al presupuesto les deban corresponder.</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El presupuesto se utilizará para cubrir las acciones, obras y servicios públicos previstos en los programas presupuestarios y en el Plan de Desarrollo de la Administración Pública Municipal.</w:t>
      </w:r>
    </w:p>
    <w:p w:rsidR="000B3C73" w:rsidRPr="00AD165E" w:rsidRDefault="000B3C73" w:rsidP="000B3C73">
      <w:pPr>
        <w:pStyle w:val="Prrafodelista"/>
        <w:rPr>
          <w:rFonts w:ascii="Avenir-Book" w:hAnsi="Avenir-Book" w:cs="Arial"/>
          <w:lang w:val="es-ES_tradnl"/>
        </w:rPr>
      </w:pPr>
    </w:p>
    <w:p w:rsidR="000B3C73" w:rsidRPr="00A95F16" w:rsidRDefault="000B3C73" w:rsidP="00A95F16">
      <w:pPr>
        <w:pStyle w:val="Prrafodelista"/>
        <w:numPr>
          <w:ilvl w:val="0"/>
          <w:numId w:val="22"/>
        </w:numPr>
        <w:jc w:val="both"/>
        <w:rPr>
          <w:rFonts w:ascii="Avenir-Book" w:hAnsi="Avenir-Book"/>
          <w:lang w:val="es-ES_tradnl"/>
        </w:rPr>
      </w:pPr>
      <w:r w:rsidRPr="00AD165E">
        <w:rPr>
          <w:rFonts w:ascii="Avenir-Book" w:hAnsi="Avenir-Book" w:cs="Arial"/>
          <w:lang w:val="es-ES_tradnl"/>
        </w:rPr>
        <w:t xml:space="preserve">La programación del gasto público </w:t>
      </w:r>
      <w:r w:rsidR="00AD165E" w:rsidRPr="00AD165E">
        <w:rPr>
          <w:rFonts w:ascii="Avenir-Book" w:hAnsi="Avenir-Book" w:cs="Arial"/>
          <w:lang w:val="es-ES_tradnl"/>
        </w:rPr>
        <w:t>municipal</w:t>
      </w:r>
      <w:r w:rsidRPr="00AD165E">
        <w:rPr>
          <w:rFonts w:ascii="Avenir-Book" w:hAnsi="Avenir-Book" w:cs="Arial"/>
          <w:lang w:val="es-ES_tradnl"/>
        </w:rPr>
        <w:t xml:space="preserve"> se basará en los lineamientos y planes de desarrollo social y ec</w:t>
      </w:r>
      <w:r w:rsidR="00625577" w:rsidRPr="00AD165E">
        <w:rPr>
          <w:rFonts w:ascii="Avenir-Book" w:hAnsi="Avenir-Book" w:cs="Arial"/>
          <w:lang w:val="es-ES_tradnl"/>
        </w:rPr>
        <w:t>onómico que formule el H.</w:t>
      </w:r>
      <w:r w:rsidRPr="00AD165E">
        <w:rPr>
          <w:rFonts w:ascii="Avenir-Book" w:hAnsi="Avenir-Book" w:cs="Arial"/>
          <w:lang w:val="es-ES_tradnl"/>
        </w:rPr>
        <w:t xml:space="preserve"> Ayuntamiento del Municipio de Puebla</w:t>
      </w:r>
      <w:r w:rsidRPr="00AD165E">
        <w:rPr>
          <w:rFonts w:ascii="Avenir-Book" w:hAnsi="Avenir-Book"/>
          <w:lang w:val="es-ES_tradnl"/>
        </w:rPr>
        <w:t>.</w:t>
      </w: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Los programas presupuestarios contendrán las prioridades del desarrollo integr</w:t>
      </w:r>
      <w:r w:rsidR="00141AF4" w:rsidRPr="00AD165E">
        <w:rPr>
          <w:rFonts w:ascii="Avenir-Book" w:hAnsi="Avenir-Book" w:cs="Arial"/>
          <w:lang w:val="es-ES_tradnl"/>
        </w:rPr>
        <w:t xml:space="preserve">al del Municipio, fijadas </w:t>
      </w:r>
      <w:r w:rsidRPr="00AD165E">
        <w:rPr>
          <w:rFonts w:ascii="Avenir-Book" w:hAnsi="Avenir-Book" w:cs="Arial"/>
          <w:lang w:val="es-ES_tradnl"/>
        </w:rPr>
        <w:t>en el P</w:t>
      </w:r>
      <w:r w:rsidR="00141AF4" w:rsidRPr="00AD165E">
        <w:rPr>
          <w:rFonts w:ascii="Avenir-Book" w:hAnsi="Avenir-Book" w:cs="Arial"/>
          <w:lang w:val="es-ES_tradnl"/>
        </w:rPr>
        <w:t>lan Municipal de Desarrollo 2018-2021</w:t>
      </w:r>
      <w:r w:rsidRPr="00AD165E">
        <w:rPr>
          <w:rFonts w:ascii="Avenir-Book" w:hAnsi="Avenir-Book" w:cs="Arial"/>
          <w:lang w:val="es-ES_tradnl"/>
        </w:rPr>
        <w:t>.</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El gasto público municipal se ejercerá de acuerdo con el Presupuesto de Egresos y deberá ajustarse al monto asignado en los programas presupuestarios correspondientes.</w:t>
      </w:r>
    </w:p>
    <w:p w:rsidR="000B3C73" w:rsidRPr="00AD165E" w:rsidRDefault="000B3C73" w:rsidP="000B3C73">
      <w:pPr>
        <w:pStyle w:val="Prrafodelista"/>
        <w:rPr>
          <w:rFonts w:ascii="Avenir-Book" w:hAnsi="Avenir-Book" w:cs="Arial"/>
          <w:lang w:val="es-ES_tradnl"/>
        </w:rPr>
      </w:pPr>
    </w:p>
    <w:p w:rsidR="00D4365A"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Ningún egreso podrá efectuarse sin estar alineado a la partida de gasto del Presupuesto de Egresos y que disponga saldo suficiente para cubrirlo.</w:t>
      </w:r>
    </w:p>
    <w:p w:rsidR="00D4365A" w:rsidRPr="00AD165E" w:rsidRDefault="00D4365A" w:rsidP="00D4365A">
      <w:pPr>
        <w:pStyle w:val="Prrafodelista"/>
        <w:rPr>
          <w:rFonts w:ascii="Avenir-Book" w:hAnsi="Avenir-Book" w:cs="Arial"/>
          <w:lang w:val="es-ES_tradnl"/>
        </w:rPr>
      </w:pPr>
    </w:p>
    <w:p w:rsidR="00533ECB" w:rsidRPr="00AD165E" w:rsidRDefault="00625577" w:rsidP="00533ECB">
      <w:pPr>
        <w:pStyle w:val="Prrafodelista"/>
        <w:numPr>
          <w:ilvl w:val="0"/>
          <w:numId w:val="22"/>
        </w:numPr>
        <w:jc w:val="both"/>
        <w:rPr>
          <w:rFonts w:ascii="Avenir-Book" w:hAnsi="Avenir-Book" w:cs="Arial"/>
          <w:lang w:val="es-ES_tradnl"/>
        </w:rPr>
      </w:pPr>
      <w:r w:rsidRPr="00AD165E">
        <w:rPr>
          <w:rFonts w:ascii="Avenir-Book" w:hAnsi="Avenir-Book" w:cs="Arial"/>
          <w:lang w:val="es-ES_tradnl"/>
        </w:rPr>
        <w:t>La Tesorería del H.</w:t>
      </w:r>
      <w:r w:rsidR="000B3C73" w:rsidRPr="00AD165E">
        <w:rPr>
          <w:rFonts w:ascii="Avenir-Book" w:hAnsi="Avenir-Book" w:cs="Arial"/>
          <w:lang w:val="es-ES_tradnl"/>
        </w:rPr>
        <w:t xml:space="preserve"> Ayuntamiento del Municipio de Puebla, con fundamento en el artículo 67 segundo párrafo de la Ley General de Contabilidad Gubernamental, efectuará los pagos con cargo al Presupuesto de Egresos, cuidando en todos los casos que correspondan a compromisos de gasto efectivamente devengados, con excepción de los anticipos que se encuentren debidamente justificados y comprobados con los documentos originales respectivos y en base a la Normatividad Presupuestal para la Autorización y Ejercicio</w:t>
      </w:r>
      <w:r w:rsidR="002B42AE" w:rsidRPr="00AD165E">
        <w:rPr>
          <w:rFonts w:ascii="Avenir-Book" w:hAnsi="Avenir-Book" w:cs="Arial"/>
          <w:lang w:val="es-ES_tradnl"/>
        </w:rPr>
        <w:t xml:space="preserve"> del Gasto Público del H.</w:t>
      </w:r>
      <w:r w:rsidR="000B3C73" w:rsidRPr="00AD165E">
        <w:rPr>
          <w:rFonts w:ascii="Avenir-Book" w:hAnsi="Avenir-Book" w:cs="Arial"/>
          <w:lang w:val="es-ES_tradnl"/>
        </w:rPr>
        <w:t xml:space="preserve"> Ayuntamiento del Municipio de Puebla 2014-2018, vigente.</w:t>
      </w:r>
    </w:p>
    <w:p w:rsidR="00533ECB" w:rsidRPr="00AD165E" w:rsidRDefault="00533ECB" w:rsidP="00533ECB">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Solamente se podrán efectuar pagos por anticipos, en los casos previstos por las leyes en la materia, debiéndose reintegrar las cantidades anticipadas que no se hubieren devengado o erogado.</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Así mismo sólo procederá hacer pagos con base en el Presupuesto de Egresos, por los bienes o servicios efectivamente devengados, siempre que se hubieren registrado y contabilizado debida y oportunamente.</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No se podrán distraer los recursos municipales para fines distintos de los señalados por las leyes y por este Presupuesto de Egresos, en cuyo caso se procederá en términos de la Ley de Disciplina Financiera para las Entidades Federativas y los Municipios.</w:t>
      </w:r>
    </w:p>
    <w:p w:rsidR="000B3C73" w:rsidRPr="00AD165E" w:rsidRDefault="000B3C73" w:rsidP="000B3C73">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tabs>
          <w:tab w:val="left" w:pos="851"/>
        </w:tabs>
        <w:jc w:val="both"/>
        <w:rPr>
          <w:rFonts w:ascii="Avenir-Book" w:hAnsi="Avenir-Book" w:cs="Arial"/>
        </w:rPr>
      </w:pPr>
      <w:r w:rsidRPr="00AD165E">
        <w:rPr>
          <w:rFonts w:ascii="Avenir-Book" w:hAnsi="Avenir-Book" w:cs="Arial"/>
          <w:bCs/>
        </w:rPr>
        <w:t>En caso de que la recaudación de los ingresos municipales sea inferior a los ingresos estimados en la Ley de Ingresos, el déficit presupuestario resultante por ningún motivo afectará los programas municipales prioritarios y en todo caso se subsanará con otra fuente de ingresos o con la disminución del gasto corriente.</w:t>
      </w:r>
    </w:p>
    <w:p w:rsidR="000B3C73" w:rsidRPr="00AD165E" w:rsidRDefault="000B3C73" w:rsidP="000B3C73">
      <w:pPr>
        <w:pStyle w:val="Prrafodelista"/>
        <w:tabs>
          <w:tab w:val="left" w:pos="851"/>
        </w:tabs>
        <w:spacing w:after="0"/>
        <w:jc w:val="both"/>
        <w:rPr>
          <w:rFonts w:ascii="Avenir-Book" w:hAnsi="Avenir-Book" w:cs="Arial"/>
          <w:bCs/>
        </w:rPr>
      </w:pPr>
    </w:p>
    <w:p w:rsidR="000B3C73" w:rsidRPr="00AD165E" w:rsidRDefault="000B3C73" w:rsidP="00D4365A">
      <w:pPr>
        <w:tabs>
          <w:tab w:val="left" w:pos="426"/>
        </w:tabs>
        <w:jc w:val="both"/>
        <w:rPr>
          <w:rFonts w:ascii="Avenir-Book" w:hAnsi="Avenir-Book" w:cs="Arial"/>
          <w:sz w:val="22"/>
          <w:szCs w:val="22"/>
        </w:rPr>
      </w:pPr>
      <w:r w:rsidRPr="00AD165E">
        <w:rPr>
          <w:rFonts w:ascii="Avenir-Book" w:hAnsi="Avenir-Book" w:cs="Arial"/>
          <w:sz w:val="22"/>
          <w:szCs w:val="22"/>
        </w:rPr>
        <w:t>La Tesorería del H</w:t>
      </w:r>
      <w:r w:rsidR="002B42AE" w:rsidRPr="00AD165E">
        <w:rPr>
          <w:rFonts w:ascii="Avenir-Book" w:hAnsi="Avenir-Book" w:cs="Arial"/>
          <w:sz w:val="22"/>
          <w:szCs w:val="22"/>
        </w:rPr>
        <w:t>.</w:t>
      </w:r>
      <w:r w:rsidRPr="00AD165E">
        <w:rPr>
          <w:rFonts w:ascii="Avenir-Book" w:hAnsi="Avenir-Book" w:cs="Arial"/>
          <w:sz w:val="22"/>
          <w:szCs w:val="22"/>
        </w:rPr>
        <w:t xml:space="preserve"> Ayuntamiento del Municipio de Puebla, podrá aprobar transferencias, reducciones, ampliaciones, o cancelaciones presupuestarias, con fundamento en los artículos288, 289, 302 y 304 del Código Fiscal y Presupuestario para el Municipio de Puebla, 22 fracción XLV del Reglamento del Código Fiscal y Presupuestario para el Municipio de Puebla y 9 fracción XLIV del Reglamento Interior de la Tesorería Municipal.</w:t>
      </w:r>
    </w:p>
    <w:p w:rsidR="00C616AB" w:rsidRPr="00AD165E" w:rsidRDefault="00C616AB" w:rsidP="00C616AB">
      <w:pPr>
        <w:rPr>
          <w:rFonts w:ascii="Avenir-Book" w:hAnsi="Avenir-Book" w:cs="Arial"/>
          <w:sz w:val="22"/>
          <w:szCs w:val="22"/>
        </w:rPr>
      </w:pPr>
    </w:p>
    <w:p w:rsidR="000B3C73" w:rsidRPr="00AD165E" w:rsidRDefault="000B3C73" w:rsidP="00D4365A">
      <w:pPr>
        <w:tabs>
          <w:tab w:val="left" w:pos="426"/>
        </w:tabs>
        <w:jc w:val="both"/>
        <w:rPr>
          <w:rFonts w:ascii="Avenir-Book" w:hAnsi="Avenir-Book" w:cs="Arial"/>
          <w:sz w:val="22"/>
          <w:szCs w:val="22"/>
        </w:rPr>
      </w:pPr>
      <w:r w:rsidRPr="00AD165E">
        <w:rPr>
          <w:rFonts w:ascii="Avenir-Book" w:hAnsi="Avenir-Book" w:cs="Arial"/>
          <w:sz w:val="22"/>
          <w:szCs w:val="22"/>
          <w:lang w:val="es-ES_tradnl"/>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rsidR="000B3C73" w:rsidRPr="00AD165E" w:rsidRDefault="000B3C73" w:rsidP="000B3C73">
      <w:pPr>
        <w:pStyle w:val="Prrafodelista"/>
        <w:tabs>
          <w:tab w:val="left" w:pos="851"/>
        </w:tabs>
        <w:spacing w:after="0"/>
        <w:ind w:left="0"/>
        <w:jc w:val="both"/>
        <w:rPr>
          <w:rFonts w:ascii="Avenir-Book" w:hAnsi="Avenir-Book" w:cs="Arial"/>
          <w:bCs/>
        </w:rPr>
      </w:pPr>
    </w:p>
    <w:p w:rsidR="000B3C73" w:rsidRPr="00AD165E" w:rsidRDefault="008239A3" w:rsidP="00C3206C">
      <w:pPr>
        <w:pStyle w:val="Prrafodelista"/>
        <w:spacing w:after="0" w:line="240" w:lineRule="auto"/>
        <w:ind w:left="0"/>
        <w:jc w:val="both"/>
        <w:rPr>
          <w:rFonts w:ascii="Avenir-Book" w:hAnsi="Avenir-Book" w:cs="Arial"/>
        </w:rPr>
      </w:pPr>
      <w:r w:rsidRPr="00AD165E">
        <w:rPr>
          <w:rFonts w:ascii="Avenir-Book" w:hAnsi="Avenir-Book" w:cs="Arial"/>
          <w:b/>
        </w:rPr>
        <w:t>Artículo 4</w:t>
      </w:r>
      <w:r w:rsidR="000B3C73" w:rsidRPr="00AD165E">
        <w:rPr>
          <w:rFonts w:ascii="Avenir-Book" w:hAnsi="Avenir-Book" w:cs="Arial"/>
          <w:b/>
        </w:rPr>
        <w:t>.-</w:t>
      </w:r>
      <w:r w:rsidR="000B3C73" w:rsidRPr="00AD165E">
        <w:rPr>
          <w:rFonts w:ascii="Avenir-Book" w:hAnsi="Avenir-Book" w:cs="Arial"/>
        </w:rPr>
        <w:t>Con fundamento en el artículo 78 fracción IX, de la Ley Orgánica Municipal, el Honorable Ayuntamiento del Municipio de Puebla, deberá aprobar el Presupuesto de Egresos,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(ASEP).</w:t>
      </w:r>
    </w:p>
    <w:p w:rsidR="000B3C73" w:rsidRPr="00AD165E" w:rsidRDefault="000B3C73" w:rsidP="000B3C73">
      <w:pPr>
        <w:pStyle w:val="Prrafodelista"/>
        <w:spacing w:after="0"/>
        <w:ind w:left="0"/>
        <w:jc w:val="both"/>
        <w:rPr>
          <w:rFonts w:ascii="Avenir-Book" w:hAnsi="Avenir-Book" w:cs="Arial"/>
          <w:highlight w:val="yellow"/>
        </w:rPr>
      </w:pPr>
    </w:p>
    <w:p w:rsidR="000B3C73" w:rsidRPr="00AD165E" w:rsidRDefault="008239A3" w:rsidP="00C3206C">
      <w:pPr>
        <w:pStyle w:val="Prrafodelista"/>
        <w:spacing w:after="0" w:line="240" w:lineRule="auto"/>
        <w:ind w:left="0"/>
        <w:jc w:val="both"/>
        <w:rPr>
          <w:rFonts w:ascii="Avenir-Book" w:hAnsi="Avenir-Book" w:cs="Arial"/>
        </w:rPr>
      </w:pPr>
      <w:r w:rsidRPr="00AD165E">
        <w:rPr>
          <w:rFonts w:ascii="Avenir-Book" w:hAnsi="Avenir-Book" w:cs="Arial"/>
          <w:b/>
        </w:rPr>
        <w:t>Artículo 5</w:t>
      </w:r>
      <w:r w:rsidR="000B3C73" w:rsidRPr="00AD165E">
        <w:rPr>
          <w:rFonts w:ascii="Avenir-Book" w:hAnsi="Avenir-Book" w:cs="Arial"/>
          <w:b/>
        </w:rPr>
        <w:t>.-</w:t>
      </w:r>
      <w:r w:rsidR="000B3C73" w:rsidRPr="00AD165E">
        <w:rPr>
          <w:rFonts w:ascii="Avenir-Book" w:hAnsi="Avenir-Book" w:cs="Arial"/>
        </w:rPr>
        <w:t xml:space="preserve"> La Tesorería del H</w:t>
      </w:r>
      <w:r w:rsidR="002B42AE" w:rsidRPr="00AD165E">
        <w:rPr>
          <w:rFonts w:ascii="Avenir-Book" w:hAnsi="Avenir-Book" w:cs="Arial"/>
        </w:rPr>
        <w:t>.</w:t>
      </w:r>
      <w:r w:rsidR="000B3C73" w:rsidRPr="00AD165E">
        <w:rPr>
          <w:rFonts w:ascii="Avenir-Book" w:hAnsi="Avenir-Book" w:cs="Arial"/>
        </w:rPr>
        <w:t xml:space="preserve"> Ayuntamiento del Municipio de Puebla, garantizará que toda la información presupuestaria cumpla con los</w:t>
      </w:r>
      <w:r w:rsidR="004842CA" w:rsidRPr="00AD165E">
        <w:rPr>
          <w:rFonts w:ascii="Avenir-Book" w:hAnsi="Avenir-Book" w:cs="Arial"/>
        </w:rPr>
        <w:t xml:space="preserve"> lineamientos</w:t>
      </w:r>
      <w:r w:rsidR="000B3C73" w:rsidRPr="00AD165E">
        <w:rPr>
          <w:rFonts w:ascii="Avenir-Book" w:hAnsi="Avenir-Book" w:cs="Arial"/>
        </w:rPr>
        <w:t xml:space="preserve"> establecidos por la Ley General de Contabilidad Gubernamental, las Normas emitidas por la Comisión Nacional de Armonización Contable, la Ley Orgánica Municipal, el Código Fiscal y Presupuestario para el Municipio de Puebla y las demás disposiciones normativas y contables aplicables.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C3206C">
      <w:pPr>
        <w:pStyle w:val="Ttulo2"/>
        <w:spacing w:before="0"/>
        <w:jc w:val="both"/>
        <w:rPr>
          <w:rFonts w:ascii="Avenir-Book" w:eastAsia="Calibri" w:hAnsi="Avenir-Book" w:cs="Arial"/>
          <w:b w:val="0"/>
          <w:bCs w:val="0"/>
          <w:color w:val="auto"/>
          <w:sz w:val="22"/>
          <w:szCs w:val="22"/>
        </w:rPr>
      </w:pPr>
      <w:r w:rsidRPr="00AD165E">
        <w:rPr>
          <w:rFonts w:ascii="Avenir-Book" w:eastAsia="Calibri" w:hAnsi="Avenir-Book" w:cs="Arial"/>
          <w:b w:val="0"/>
          <w:bCs w:val="0"/>
          <w:color w:val="auto"/>
          <w:sz w:val="22"/>
          <w:szCs w:val="22"/>
        </w:rPr>
        <w:t>En estas condiciones, las Dependencias y Entidades, al ejercer los presupuestos aprobados, deberán sujetarse invariablemente al uso de los Clasificadores Presupuestales Armonizados, emitidos por el Consejo Nacional de Armonización Contable, a partir de la entrada en vigor del Presupuesto de Egresos, los cuales se enlistan a continuación:</w:t>
      </w:r>
    </w:p>
    <w:p w:rsidR="00D11EEB" w:rsidRPr="00AD165E" w:rsidRDefault="00D11EEB" w:rsidP="000B3C73">
      <w:pPr>
        <w:pStyle w:val="Prrafodelista"/>
        <w:spacing w:after="0"/>
        <w:ind w:left="0"/>
        <w:jc w:val="both"/>
        <w:rPr>
          <w:rFonts w:ascii="Avenir-Book" w:hAnsi="Avenir-Book" w:cs="Arial"/>
          <w:b/>
        </w:rPr>
      </w:pPr>
    </w:p>
    <w:p w:rsidR="000B3C73" w:rsidRPr="00AD165E" w:rsidRDefault="000B3C73" w:rsidP="000B3C73">
      <w:pPr>
        <w:pStyle w:val="Ttulo2"/>
        <w:spacing w:before="0" w:line="276" w:lineRule="auto"/>
        <w:rPr>
          <w:rFonts w:ascii="Avenir-Book" w:eastAsia="Calibri" w:hAnsi="Avenir-Book" w:cs="Arial"/>
          <w:bCs w:val="0"/>
          <w:color w:val="auto"/>
          <w:sz w:val="22"/>
          <w:szCs w:val="22"/>
        </w:rPr>
      </w:pPr>
      <w:r w:rsidRPr="00AD165E">
        <w:rPr>
          <w:rFonts w:ascii="Avenir-Book" w:eastAsia="Calibri" w:hAnsi="Avenir-Book" w:cs="Arial"/>
          <w:bCs w:val="0"/>
          <w:color w:val="auto"/>
          <w:sz w:val="22"/>
          <w:szCs w:val="22"/>
        </w:rPr>
        <w:t xml:space="preserve">CLASIFICADORES PRESUPUESTALES </w:t>
      </w:r>
    </w:p>
    <w:p w:rsidR="000B3C73" w:rsidRPr="00AD165E" w:rsidRDefault="000B3C73" w:rsidP="000B3C73">
      <w:pPr>
        <w:rPr>
          <w:rFonts w:ascii="Avenir-Book" w:hAnsi="Avenir-Book"/>
          <w:sz w:val="22"/>
          <w:szCs w:val="22"/>
        </w:rPr>
      </w:pP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Objeto del Gasto.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Tipo de Gasto.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Administrativa.</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Fuente de Financiamiento.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Funcional.</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Programática.</w:t>
      </w:r>
    </w:p>
    <w:p w:rsidR="000B3C73" w:rsidRPr="00AD165E" w:rsidRDefault="000B3C73" w:rsidP="000B3C73">
      <w:pPr>
        <w:pStyle w:val="Prrafodelista"/>
        <w:spacing w:after="0"/>
        <w:ind w:left="0"/>
        <w:jc w:val="both"/>
        <w:rPr>
          <w:rFonts w:ascii="Avenir-Book" w:hAnsi="Avenir-Book" w:cs="Arial"/>
        </w:rPr>
      </w:pPr>
    </w:p>
    <w:p w:rsidR="000822BB" w:rsidRPr="00AD165E" w:rsidRDefault="008239A3" w:rsidP="000822BB">
      <w:pPr>
        <w:autoSpaceDE w:val="0"/>
        <w:autoSpaceDN w:val="0"/>
        <w:adjustRightInd w:val="0"/>
        <w:jc w:val="both"/>
        <w:rPr>
          <w:rFonts w:ascii="Avenir-Book" w:eastAsia="BookmanOldStyle" w:hAnsi="Avenir-Book" w:cs="Arial"/>
          <w:sz w:val="22"/>
          <w:szCs w:val="22"/>
          <w:lang w:val="es-MX" w:eastAsia="en-US"/>
        </w:rPr>
      </w:pPr>
      <w:r w:rsidRPr="00AD165E">
        <w:rPr>
          <w:rFonts w:ascii="Avenir-Book" w:hAnsi="Avenir-Book" w:cs="Arial"/>
          <w:b/>
          <w:sz w:val="22"/>
          <w:szCs w:val="22"/>
        </w:rPr>
        <w:t>Artículo 6</w:t>
      </w:r>
      <w:r w:rsidR="000B3C73" w:rsidRPr="00AD165E">
        <w:rPr>
          <w:rFonts w:ascii="Avenir-Book" w:hAnsi="Avenir-Book" w:cs="Arial"/>
          <w:b/>
          <w:sz w:val="22"/>
          <w:szCs w:val="22"/>
        </w:rPr>
        <w:t>.</w:t>
      </w:r>
      <w:r w:rsidR="009F6EB2" w:rsidRPr="00AD165E">
        <w:rPr>
          <w:rFonts w:ascii="Avenir-Book" w:hAnsi="Avenir-Book" w:cs="Arial"/>
          <w:sz w:val="22"/>
          <w:szCs w:val="22"/>
        </w:rPr>
        <w:t>L</w:t>
      </w:r>
      <w:r w:rsidR="000B3C73" w:rsidRPr="00AD165E">
        <w:rPr>
          <w:rFonts w:ascii="Avenir-Book" w:hAnsi="Avenir-Book" w:cs="Arial"/>
          <w:sz w:val="22"/>
          <w:szCs w:val="22"/>
        </w:rPr>
        <w:t>a Tesorería Municipal</w:t>
      </w:r>
      <w:r w:rsidR="000822BB" w:rsidRPr="00AD165E">
        <w:rPr>
          <w:rFonts w:ascii="Avenir-Book" w:hAnsi="Avenir-Book" w:cs="Arial"/>
          <w:sz w:val="22"/>
          <w:szCs w:val="22"/>
        </w:rPr>
        <w:t>, en ejercicio de</w:t>
      </w:r>
      <w:r w:rsidR="00111365" w:rsidRPr="00AD165E">
        <w:rPr>
          <w:rFonts w:ascii="Avenir-Book" w:hAnsi="Avenir-Book" w:cs="Arial"/>
          <w:sz w:val="22"/>
          <w:szCs w:val="22"/>
        </w:rPr>
        <w:t xml:space="preserve"> las atribuciones que le confiere </w:t>
      </w:r>
      <w:r w:rsidR="000822BB" w:rsidRPr="00AD165E">
        <w:rPr>
          <w:rFonts w:ascii="Avenir-Book" w:hAnsi="Avenir-Book" w:cs="Arial"/>
          <w:sz w:val="22"/>
          <w:szCs w:val="22"/>
        </w:rPr>
        <w:t>las leyes</w:t>
      </w:r>
      <w:r w:rsidR="00111365" w:rsidRPr="00AD165E">
        <w:rPr>
          <w:rFonts w:ascii="Avenir-Book" w:hAnsi="Avenir-Book" w:cs="Arial"/>
          <w:sz w:val="22"/>
          <w:szCs w:val="22"/>
        </w:rPr>
        <w:t xml:space="preserve"> contables y presupuestarias aplicables</w:t>
      </w:r>
      <w:r w:rsidR="000822BB" w:rsidRPr="00AD165E">
        <w:rPr>
          <w:rFonts w:ascii="Avenir-Book" w:hAnsi="Avenir-Book" w:cs="Arial"/>
          <w:sz w:val="22"/>
          <w:szCs w:val="22"/>
        </w:rPr>
        <w:t>,</w:t>
      </w:r>
      <w:r w:rsidR="00533ECB" w:rsidRPr="00AD165E">
        <w:rPr>
          <w:rFonts w:ascii="Avenir-Book" w:hAnsi="Avenir-Book" w:cs="Arial"/>
          <w:sz w:val="22"/>
          <w:szCs w:val="22"/>
        </w:rPr>
        <w:t xml:space="preserve"> </w:t>
      </w:r>
      <w:r w:rsidR="000822BB" w:rsidRPr="00AD165E">
        <w:rPr>
          <w:rFonts w:ascii="Avenir-Book" w:hAnsi="Avenir-Book" w:cs="Arial"/>
          <w:sz w:val="22"/>
          <w:szCs w:val="22"/>
        </w:rPr>
        <w:t>podrá suscribir</w:t>
      </w:r>
      <w:r w:rsidR="000B3C73" w:rsidRPr="00AD165E">
        <w:rPr>
          <w:rFonts w:ascii="Avenir-Book" w:hAnsi="Avenir-Book" w:cs="Arial"/>
          <w:sz w:val="22"/>
          <w:szCs w:val="22"/>
        </w:rPr>
        <w:t xml:space="preserve"> conve</w:t>
      </w:r>
      <w:r w:rsidR="004842CA" w:rsidRPr="00AD165E">
        <w:rPr>
          <w:rFonts w:ascii="Avenir-Book" w:hAnsi="Avenir-Book" w:cs="Arial"/>
          <w:sz w:val="22"/>
          <w:szCs w:val="22"/>
        </w:rPr>
        <w:t>nios o acuerdos de coordinación</w:t>
      </w:r>
      <w:r w:rsidR="003443C1" w:rsidRPr="00AD165E">
        <w:rPr>
          <w:rFonts w:ascii="Avenir-Book" w:hAnsi="Avenir-Book" w:cs="Arial"/>
          <w:sz w:val="22"/>
          <w:szCs w:val="22"/>
        </w:rPr>
        <w:t xml:space="preserve"> y colaboración administrativa</w:t>
      </w:r>
      <w:r w:rsidR="00533ECB" w:rsidRPr="00AD165E">
        <w:rPr>
          <w:rFonts w:ascii="Avenir-Book" w:hAnsi="Avenir-Book" w:cs="Arial"/>
          <w:sz w:val="22"/>
          <w:szCs w:val="22"/>
        </w:rPr>
        <w:t xml:space="preserve"> </w:t>
      </w:r>
      <w:r w:rsidR="003443C1" w:rsidRPr="00AD165E">
        <w:rPr>
          <w:rFonts w:ascii="Avenir-Book" w:hAnsi="Avenir-Book" w:cs="Arial"/>
          <w:sz w:val="22"/>
          <w:szCs w:val="22"/>
        </w:rPr>
        <w:t xml:space="preserve">entre la </w:t>
      </w:r>
      <w:r w:rsidR="000B3C73" w:rsidRPr="00AD165E">
        <w:rPr>
          <w:rFonts w:ascii="Avenir-Book" w:hAnsi="Avenir-Book" w:cs="Arial"/>
          <w:sz w:val="22"/>
          <w:szCs w:val="22"/>
        </w:rPr>
        <w:t>Federació</w:t>
      </w:r>
      <w:r w:rsidR="004842CA" w:rsidRPr="00AD165E">
        <w:rPr>
          <w:rFonts w:ascii="Avenir-Book" w:hAnsi="Avenir-Book" w:cs="Arial"/>
          <w:sz w:val="22"/>
          <w:szCs w:val="22"/>
        </w:rPr>
        <w:t>n, el Estado y otros Municipios(</w:t>
      </w:r>
      <w:r w:rsidR="000B3C73" w:rsidRPr="00AD165E">
        <w:rPr>
          <w:rFonts w:ascii="Avenir-Book" w:hAnsi="Avenir-Book" w:cs="Arial"/>
          <w:sz w:val="22"/>
          <w:szCs w:val="22"/>
        </w:rPr>
        <w:t>in</w:t>
      </w:r>
      <w:r w:rsidR="000F46DE" w:rsidRPr="00AD165E">
        <w:rPr>
          <w:rFonts w:ascii="Avenir-Book" w:hAnsi="Avenir-Book" w:cs="Arial"/>
          <w:sz w:val="22"/>
          <w:szCs w:val="22"/>
        </w:rPr>
        <w:t xml:space="preserve">tegrantes de esta misma región </w:t>
      </w:r>
      <w:r w:rsidR="000B3C73" w:rsidRPr="00AD165E">
        <w:rPr>
          <w:rFonts w:ascii="Avenir-Book" w:hAnsi="Avenir-Book" w:cs="Arial"/>
          <w:sz w:val="22"/>
          <w:szCs w:val="22"/>
        </w:rPr>
        <w:t>económica del Estado</w:t>
      </w:r>
      <w:r w:rsidR="004842CA" w:rsidRPr="00AD165E">
        <w:rPr>
          <w:rFonts w:ascii="Avenir-Book" w:hAnsi="Avenir-Book" w:cs="Arial"/>
          <w:sz w:val="22"/>
          <w:szCs w:val="22"/>
        </w:rPr>
        <w:t>)</w:t>
      </w:r>
      <w:r w:rsidRPr="00AD165E">
        <w:rPr>
          <w:rFonts w:ascii="Avenir-Book" w:hAnsi="Avenir-Book" w:cs="Arial"/>
          <w:sz w:val="22"/>
          <w:szCs w:val="22"/>
        </w:rPr>
        <w:t xml:space="preserve">, </w:t>
      </w:r>
      <w:r w:rsidR="000822BB" w:rsidRPr="00AD165E">
        <w:rPr>
          <w:rFonts w:ascii="Avenir-Book" w:eastAsia="BookmanOldStyle" w:hAnsi="Avenir-Book" w:cs="Arial"/>
          <w:sz w:val="22"/>
          <w:szCs w:val="22"/>
          <w:lang w:val="es-MX" w:eastAsia="en-US"/>
        </w:rPr>
        <w:t xml:space="preserve">en materia de </w:t>
      </w:r>
      <w:r w:rsidR="004A0DCD" w:rsidRPr="00AD165E">
        <w:rPr>
          <w:rFonts w:ascii="Avenir-Book" w:eastAsia="BookmanOldStyle" w:hAnsi="Avenir-Book" w:cs="Arial"/>
          <w:sz w:val="22"/>
          <w:szCs w:val="22"/>
          <w:lang w:val="es-MX" w:eastAsia="en-US"/>
        </w:rPr>
        <w:t xml:space="preserve">ingresos, </w:t>
      </w:r>
      <w:r w:rsidR="000822BB" w:rsidRPr="00AD165E">
        <w:rPr>
          <w:rFonts w:ascii="Avenir-Book" w:eastAsia="BookmanOldStyle" w:hAnsi="Avenir-Book" w:cs="Arial"/>
          <w:sz w:val="22"/>
          <w:szCs w:val="22"/>
          <w:lang w:val="es-MX" w:eastAsia="en-US"/>
        </w:rPr>
        <w:t>gasto público</w:t>
      </w:r>
      <w:r w:rsidR="003443C1" w:rsidRPr="00AD165E">
        <w:rPr>
          <w:rFonts w:ascii="Avenir-Book" w:eastAsia="BookmanOldStyle" w:hAnsi="Avenir-Book" w:cs="Arial"/>
          <w:sz w:val="22"/>
          <w:szCs w:val="22"/>
          <w:lang w:val="es-MX" w:eastAsia="en-US"/>
        </w:rPr>
        <w:t>,</w:t>
      </w:r>
      <w:r w:rsidR="004A0DCD" w:rsidRPr="00AD165E">
        <w:rPr>
          <w:rFonts w:ascii="Avenir-Book" w:eastAsia="BookmanOldStyle" w:hAnsi="Avenir-Book" w:cs="Arial"/>
          <w:sz w:val="22"/>
          <w:szCs w:val="22"/>
          <w:lang w:val="es-MX" w:eastAsia="en-US"/>
        </w:rPr>
        <w:t xml:space="preserve"> patrimonio, deuda pública y sus anexos</w:t>
      </w:r>
      <w:r w:rsidR="000822BB" w:rsidRPr="00AD165E">
        <w:rPr>
          <w:rFonts w:ascii="Avenir-Book" w:eastAsia="BookmanOldStyle" w:hAnsi="Avenir-Book" w:cs="Arial"/>
          <w:sz w:val="22"/>
          <w:szCs w:val="22"/>
          <w:lang w:val="es-MX" w:eastAsia="en-US"/>
        </w:rPr>
        <w:t xml:space="preserve"> para la ejecución de acciones y programas conjuntos, </w:t>
      </w:r>
      <w:r w:rsidR="009F6EB2" w:rsidRPr="00AD165E">
        <w:rPr>
          <w:rFonts w:ascii="Avenir-Book" w:eastAsia="BookmanOldStyle" w:hAnsi="Avenir-Book" w:cs="Arial"/>
          <w:sz w:val="22"/>
          <w:szCs w:val="22"/>
          <w:lang w:val="es-MX" w:eastAsia="en-US"/>
        </w:rPr>
        <w:t xml:space="preserve">a fin de </w:t>
      </w:r>
      <w:r w:rsidR="000822BB" w:rsidRPr="00AD165E">
        <w:rPr>
          <w:rFonts w:ascii="Avenir-Book" w:eastAsia="BookmanOldStyle" w:hAnsi="Avenir-Book" w:cs="Arial"/>
          <w:sz w:val="22"/>
          <w:szCs w:val="22"/>
          <w:lang w:val="es-MX" w:eastAsia="en-US"/>
        </w:rPr>
        <w:t xml:space="preserve">optimizar los recursos </w:t>
      </w:r>
      <w:r w:rsidR="003443C1" w:rsidRPr="00AD165E">
        <w:rPr>
          <w:rFonts w:ascii="Avenir-Book" w:eastAsia="BookmanOldStyle" w:hAnsi="Avenir-Book" w:cs="Arial"/>
          <w:sz w:val="22"/>
          <w:szCs w:val="22"/>
          <w:lang w:val="es-MX" w:eastAsia="en-US"/>
        </w:rPr>
        <w:t>públicos</w:t>
      </w:r>
      <w:r w:rsidR="009F6EB2" w:rsidRPr="00AD165E">
        <w:rPr>
          <w:rFonts w:ascii="Avenir-Book" w:eastAsia="BookmanOldStyle" w:hAnsi="Avenir-Book" w:cs="Arial"/>
          <w:sz w:val="22"/>
          <w:szCs w:val="22"/>
          <w:lang w:val="es-MX" w:eastAsia="en-US"/>
        </w:rPr>
        <w:t xml:space="preserve"> y</w:t>
      </w:r>
      <w:r w:rsidR="00533ECB" w:rsidRPr="00AD165E">
        <w:rPr>
          <w:rFonts w:ascii="Avenir-Book" w:eastAsia="BookmanOldStyle" w:hAnsi="Avenir-Book" w:cs="Arial"/>
          <w:sz w:val="22"/>
          <w:szCs w:val="22"/>
          <w:lang w:val="es-MX" w:eastAsia="en-US"/>
        </w:rPr>
        <w:t xml:space="preserve"> </w:t>
      </w:r>
      <w:r w:rsidR="000822BB" w:rsidRPr="00AD165E">
        <w:rPr>
          <w:rFonts w:ascii="Avenir-Book" w:eastAsia="BookmanOldStyle" w:hAnsi="Avenir-Book" w:cs="Arial"/>
          <w:sz w:val="22"/>
          <w:szCs w:val="22"/>
          <w:lang w:val="es-MX" w:eastAsia="en-US"/>
        </w:rPr>
        <w:t>satisfacer las necesidades colectivas</w:t>
      </w:r>
      <w:r w:rsidR="00B30B5C" w:rsidRPr="00AD165E">
        <w:rPr>
          <w:rFonts w:ascii="Avenir-Book" w:eastAsia="BookmanOldStyle" w:hAnsi="Avenir-Book" w:cs="Arial"/>
          <w:sz w:val="22"/>
          <w:szCs w:val="22"/>
          <w:lang w:val="es-MX" w:eastAsia="en-US"/>
        </w:rPr>
        <w:t xml:space="preserve"> que permitan</w:t>
      </w:r>
      <w:r w:rsidR="003443C1" w:rsidRPr="00AD165E">
        <w:rPr>
          <w:rFonts w:ascii="Avenir-Book" w:eastAsia="BookmanOldStyle" w:hAnsi="Avenir-Book" w:cs="Arial"/>
          <w:sz w:val="22"/>
          <w:szCs w:val="22"/>
          <w:lang w:val="es-MX" w:eastAsia="en-US"/>
        </w:rPr>
        <w:t xml:space="preserve"> impulsar el desarrollo de la Ciu</w:t>
      </w:r>
      <w:r w:rsidR="000822BB" w:rsidRPr="00AD165E">
        <w:rPr>
          <w:rFonts w:ascii="Avenir-Book" w:eastAsia="BookmanOldStyle" w:hAnsi="Avenir-Book" w:cs="Arial"/>
          <w:sz w:val="22"/>
          <w:szCs w:val="22"/>
          <w:lang w:val="es-MX" w:eastAsia="en-US"/>
        </w:rPr>
        <w:t>dad.</w:t>
      </w:r>
    </w:p>
    <w:p w:rsidR="000F46DE" w:rsidRPr="00AD165E" w:rsidRDefault="000F46DE" w:rsidP="000B3C73">
      <w:pPr>
        <w:autoSpaceDE w:val="0"/>
        <w:autoSpaceDN w:val="0"/>
        <w:adjustRightInd w:val="0"/>
        <w:jc w:val="both"/>
        <w:rPr>
          <w:rFonts w:ascii="Avenir-Book" w:hAnsi="Avenir-Book" w:cs="Arial"/>
          <w:b/>
          <w:sz w:val="22"/>
          <w:szCs w:val="22"/>
          <w:lang w:val="es-MX"/>
        </w:rPr>
      </w:pPr>
    </w:p>
    <w:p w:rsidR="000B3C73" w:rsidRDefault="008239A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7</w:t>
      </w:r>
      <w:r w:rsidR="000B3C73" w:rsidRPr="00AD165E">
        <w:rPr>
          <w:rFonts w:ascii="Avenir-Book" w:hAnsi="Avenir-Book" w:cs="Arial"/>
          <w:b/>
          <w:sz w:val="22"/>
          <w:szCs w:val="22"/>
        </w:rPr>
        <w:t>.-</w:t>
      </w:r>
      <w:r w:rsidR="000B3C73" w:rsidRPr="00AD165E">
        <w:rPr>
          <w:rFonts w:ascii="Avenir-Book" w:hAnsi="Avenir-Book" w:cs="Arial"/>
          <w:sz w:val="22"/>
          <w:szCs w:val="22"/>
        </w:rPr>
        <w:t xml:space="preserve"> El Presente Presupuesto de Egresos para el ejercicio 2019, deberá ser difundido en los medios electrónicos que disponga el Municipio en los términos de la Ley de Transparencia y Acceso a la Información Pública del Estado de Puebla, la Ley General de Transparencia y Acceso a la Información Pública y del artículo 65, de la Ley Genera</w:t>
      </w:r>
      <w:r w:rsidR="000036F1" w:rsidRPr="00AD165E">
        <w:rPr>
          <w:rFonts w:ascii="Avenir-Book" w:hAnsi="Avenir-Book" w:cs="Arial"/>
          <w:sz w:val="22"/>
          <w:szCs w:val="22"/>
        </w:rPr>
        <w:t>l de Contabilidad Gubernamental y 89 Bis</w:t>
      </w:r>
      <w:r w:rsidR="00111365" w:rsidRPr="00AD165E">
        <w:rPr>
          <w:rFonts w:ascii="Avenir-Book" w:hAnsi="Avenir-Book" w:cs="Arial"/>
          <w:sz w:val="22"/>
          <w:szCs w:val="22"/>
        </w:rPr>
        <w:t>,</w:t>
      </w:r>
      <w:r w:rsidR="000036F1" w:rsidRPr="00AD165E">
        <w:rPr>
          <w:rFonts w:ascii="Avenir-Book" w:hAnsi="Avenir-Book" w:cs="Arial"/>
          <w:sz w:val="22"/>
          <w:szCs w:val="22"/>
        </w:rPr>
        <w:t xml:space="preserve"> de la Ley Orgánica Municipal. </w:t>
      </w: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Pr="00AD165E" w:rsidRDefault="007F646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TÍTULO SEGUNDO</w:t>
      </w:r>
    </w:p>
    <w:p w:rsidR="000B3C73" w:rsidRPr="00AD165E" w:rsidRDefault="000B3C73" w:rsidP="001F38BD">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 xml:space="preserve">DE </w:t>
      </w:r>
      <w:r w:rsidR="001F38BD" w:rsidRPr="00AD165E">
        <w:rPr>
          <w:rFonts w:ascii="Avenir-Book" w:hAnsi="Avenir-Book" w:cs="Arial"/>
          <w:b/>
          <w:bCs/>
          <w:sz w:val="22"/>
          <w:szCs w:val="22"/>
          <w:lang w:eastAsia="es-MX"/>
        </w:rPr>
        <w:t>LAS ASIGNACIONES PRESUPUESTALES</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w:t>
      </w:r>
    </w:p>
    <w:p w:rsidR="000B3C73" w:rsidRPr="00AD165E" w:rsidRDefault="001F38BD"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 xml:space="preserve">DE LAS CLASIFICACIONES </w:t>
      </w:r>
      <w:r w:rsidR="000B3C73" w:rsidRPr="00AD165E">
        <w:rPr>
          <w:rFonts w:ascii="Avenir-Book" w:hAnsi="Avenir-Book" w:cs="Arial"/>
          <w:b/>
          <w:bCs/>
          <w:color w:val="auto"/>
          <w:sz w:val="22"/>
          <w:szCs w:val="22"/>
          <w:lang w:eastAsia="es-MX"/>
        </w:rPr>
        <w:t>DEL PRESUPUESTO DE EGRESOS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0B3C73" w:rsidRPr="00AD165E" w:rsidRDefault="008239A3" w:rsidP="000B3C73">
      <w:pPr>
        <w:jc w:val="both"/>
        <w:rPr>
          <w:rFonts w:ascii="Avenir-Book" w:hAnsi="Avenir-Book" w:cs="Arial"/>
          <w:sz w:val="22"/>
          <w:szCs w:val="22"/>
        </w:rPr>
      </w:pPr>
      <w:r w:rsidRPr="00AD165E">
        <w:rPr>
          <w:rFonts w:ascii="Avenir-Book" w:hAnsi="Avenir-Book" w:cs="Arial"/>
          <w:b/>
          <w:sz w:val="22"/>
          <w:szCs w:val="22"/>
        </w:rPr>
        <w:t>Artículo 8</w:t>
      </w:r>
      <w:r w:rsidR="000B3C73" w:rsidRPr="00AD165E">
        <w:rPr>
          <w:rFonts w:ascii="Avenir-Book" w:hAnsi="Avenir-Book" w:cs="Arial"/>
          <w:b/>
          <w:sz w:val="22"/>
          <w:szCs w:val="22"/>
        </w:rPr>
        <w:t xml:space="preserve">.- </w:t>
      </w:r>
      <w:r w:rsidR="000B3C73" w:rsidRPr="00AD165E">
        <w:rPr>
          <w:rFonts w:ascii="Avenir-Book" w:hAnsi="Avenir-Book" w:cs="Arial"/>
          <w:sz w:val="22"/>
          <w:szCs w:val="22"/>
        </w:rPr>
        <w:t>Para el ejercicio 2019, el Presupuesto de Egresos del H</w:t>
      </w:r>
      <w:r w:rsidR="002B42AE" w:rsidRPr="00AD165E">
        <w:rPr>
          <w:rFonts w:ascii="Avenir-Book" w:hAnsi="Avenir-Book" w:cs="Arial"/>
          <w:sz w:val="22"/>
          <w:szCs w:val="22"/>
        </w:rPr>
        <w:t>.</w:t>
      </w:r>
      <w:r w:rsidR="000B3C73" w:rsidRPr="00AD165E">
        <w:rPr>
          <w:rFonts w:ascii="Avenir-Book" w:hAnsi="Avenir-Book" w:cs="Arial"/>
          <w:sz w:val="22"/>
          <w:szCs w:val="22"/>
        </w:rPr>
        <w:t xml:space="preserve"> Ayuntamiento del Municipio de Puebla, comprende el monto de </w:t>
      </w:r>
      <w:r w:rsidR="000B3C73" w:rsidRPr="00AD165E">
        <w:rPr>
          <w:rFonts w:ascii="Avenir-Book" w:hAnsi="Avenir-Book" w:cs="Arial"/>
          <w:b/>
          <w:sz w:val="22"/>
          <w:szCs w:val="22"/>
        </w:rPr>
        <w:t xml:space="preserve">$5,048,132,400.00 </w:t>
      </w:r>
      <w:r w:rsidR="000B3C73" w:rsidRPr="00AD165E">
        <w:rPr>
          <w:rFonts w:ascii="Avenir-Book" w:hAnsi="Avenir-Book" w:cs="Arial"/>
          <w:sz w:val="22"/>
          <w:szCs w:val="22"/>
        </w:rPr>
        <w:t>correspondiente a los ingresos aprobados, mismo que representa un incremento de 6.41% de lo autorizado, respecto del Presupuesto de Egresos</w:t>
      </w:r>
      <w:r w:rsidR="0058293B" w:rsidRPr="00AD165E">
        <w:rPr>
          <w:rFonts w:ascii="Avenir-Book" w:hAnsi="Avenir-Book" w:cs="Arial"/>
          <w:sz w:val="22"/>
          <w:szCs w:val="22"/>
        </w:rPr>
        <w:t xml:space="preserve"> aprobado para el </w:t>
      </w:r>
      <w:r w:rsidR="002B42AE" w:rsidRPr="00AD165E">
        <w:rPr>
          <w:rFonts w:ascii="Avenir-Book" w:hAnsi="Avenir-Book" w:cs="Arial"/>
          <w:sz w:val="22"/>
          <w:szCs w:val="22"/>
        </w:rPr>
        <w:t>ejercicio 2018</w:t>
      </w:r>
      <w:r w:rsidR="000B3C73" w:rsidRPr="00AD165E">
        <w:rPr>
          <w:rFonts w:ascii="Avenir-Book" w:hAnsi="Avenir-Book" w:cs="Arial"/>
          <w:sz w:val="22"/>
          <w:szCs w:val="22"/>
        </w:rPr>
        <w:t>,</w:t>
      </w:r>
      <w:r w:rsidR="00AD165E">
        <w:rPr>
          <w:rFonts w:ascii="Avenir-Book" w:hAnsi="Avenir-Book" w:cs="Arial"/>
          <w:sz w:val="22"/>
          <w:szCs w:val="22"/>
        </w:rPr>
        <w:t xml:space="preserve"> </w:t>
      </w:r>
      <w:r w:rsidR="000B3C73" w:rsidRPr="00AD165E">
        <w:rPr>
          <w:rFonts w:ascii="Avenir-Book" w:hAnsi="Avenir-Book" w:cs="Arial"/>
          <w:sz w:val="22"/>
          <w:szCs w:val="22"/>
        </w:rPr>
        <w:t xml:space="preserve">de acuerdo con la Sesión de Cabildo de fecha </w:t>
      </w:r>
      <w:r w:rsidR="002B42AE" w:rsidRPr="00AD165E">
        <w:rPr>
          <w:rFonts w:ascii="Avenir-Book" w:hAnsi="Avenir-Book" w:cs="Arial"/>
          <w:sz w:val="22"/>
          <w:szCs w:val="22"/>
        </w:rPr>
        <w:t>15</w:t>
      </w:r>
      <w:r w:rsidR="000B3C73" w:rsidRPr="00AD165E">
        <w:rPr>
          <w:rFonts w:ascii="Avenir-Book" w:hAnsi="Avenir-Book" w:cs="Arial"/>
          <w:sz w:val="22"/>
          <w:szCs w:val="22"/>
        </w:rPr>
        <w:t xml:space="preserve"> de diciembre de 201</w:t>
      </w:r>
      <w:r w:rsidR="002B42AE" w:rsidRPr="00AD165E">
        <w:rPr>
          <w:rFonts w:ascii="Avenir-Book" w:hAnsi="Avenir-Book" w:cs="Arial"/>
          <w:sz w:val="22"/>
          <w:szCs w:val="22"/>
        </w:rPr>
        <w:t>7</w:t>
      </w:r>
      <w:r w:rsidR="000B3C73" w:rsidRPr="00AD165E">
        <w:rPr>
          <w:rFonts w:ascii="Avenir-Book" w:hAnsi="Avenir-Book" w:cs="Arial"/>
          <w:sz w:val="22"/>
          <w:szCs w:val="22"/>
        </w:rPr>
        <w:t xml:space="preserve"> y publicado en el Periódico Oficial del Estado el día </w:t>
      </w:r>
      <w:r w:rsidR="002B42AE" w:rsidRPr="00AD165E">
        <w:rPr>
          <w:rFonts w:ascii="Avenir-Book" w:hAnsi="Avenir-Book" w:cs="Arial"/>
          <w:sz w:val="22"/>
          <w:szCs w:val="22"/>
        </w:rPr>
        <w:t xml:space="preserve">02 de enero </w:t>
      </w:r>
      <w:r w:rsidR="000B3C73" w:rsidRPr="00AD165E">
        <w:rPr>
          <w:rFonts w:ascii="Avenir-Book" w:hAnsi="Avenir-Book" w:cs="Arial"/>
          <w:sz w:val="22"/>
          <w:szCs w:val="22"/>
        </w:rPr>
        <w:t>de 2018.</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bCs/>
          <w:sz w:val="22"/>
          <w:szCs w:val="22"/>
        </w:rPr>
      </w:pPr>
      <w:r w:rsidRPr="00AD165E">
        <w:rPr>
          <w:rFonts w:ascii="Avenir-Book" w:hAnsi="Avenir-Book" w:cs="Arial"/>
          <w:sz w:val="22"/>
          <w:szCs w:val="22"/>
        </w:rPr>
        <w:t xml:space="preserve">El gasto total que se prevé y se encuentra destinado en el Presupuesto de Egresos del Honorable Ayuntamiento Municipio de Puebla, ascenderá a la cantidad de </w:t>
      </w:r>
      <w:r w:rsidRPr="00AD165E">
        <w:rPr>
          <w:rFonts w:ascii="Avenir-Book" w:hAnsi="Avenir-Book" w:cs="Arial"/>
          <w:b/>
          <w:sz w:val="22"/>
          <w:szCs w:val="22"/>
        </w:rPr>
        <w:t>$5,048’132,400.00</w:t>
      </w:r>
      <w:r w:rsidR="00533ECB" w:rsidRPr="00AD165E">
        <w:rPr>
          <w:rFonts w:ascii="Avenir-Book" w:hAnsi="Avenir-Book" w:cs="Arial"/>
          <w:b/>
          <w:sz w:val="22"/>
          <w:szCs w:val="22"/>
        </w:rPr>
        <w:t xml:space="preserve"> </w:t>
      </w:r>
      <w:r w:rsidRPr="00AD165E">
        <w:rPr>
          <w:rFonts w:ascii="Avenir-Book" w:hAnsi="Avenir-Book" w:cs="Arial"/>
          <w:sz w:val="22"/>
          <w:szCs w:val="22"/>
        </w:rPr>
        <w:t>correspondiente al total de los ingresos descritos en la Ley de Ingresos del Municipio de Puebla, para el ejercicio fiscal de 2019, guardando el equilibrio</w:t>
      </w:r>
      <w:r w:rsidRPr="00AD165E">
        <w:rPr>
          <w:rFonts w:ascii="Avenir-Book" w:hAnsi="Avenir-Book" w:cs="Arial"/>
          <w:bCs/>
          <w:sz w:val="22"/>
          <w:szCs w:val="22"/>
        </w:rPr>
        <w:t xml:space="preserve"> presupuestario de conformidad con lo establecido en el artículo 115 fracción IV, de la Constitución Política de los Estados Unidos</w:t>
      </w:r>
      <w:r w:rsidR="00C3206C" w:rsidRPr="00AD165E">
        <w:rPr>
          <w:rFonts w:ascii="Avenir-Book" w:hAnsi="Avenir-Book" w:cs="Arial"/>
          <w:bCs/>
          <w:sz w:val="22"/>
          <w:szCs w:val="22"/>
        </w:rPr>
        <w:t xml:space="preserve"> Mexicanos.</w:t>
      </w:r>
    </w:p>
    <w:p w:rsidR="008239A3" w:rsidRPr="00AD165E" w:rsidRDefault="008239A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b/>
          <w:i/>
          <w:sz w:val="22"/>
          <w:szCs w:val="22"/>
        </w:rPr>
      </w:pPr>
      <w:r w:rsidRPr="00AD165E">
        <w:rPr>
          <w:rFonts w:ascii="Avenir-Book" w:hAnsi="Avenir-Book" w:cs="Arial"/>
          <w:sz w:val="22"/>
          <w:szCs w:val="22"/>
        </w:rPr>
        <w:t>Con el objeto de transparentar la recaudación de los ingresos proyectados y con base en la Norma para establecer la estructura del Calendario de</w:t>
      </w:r>
      <w:r w:rsidR="00747DF9" w:rsidRPr="00AD165E">
        <w:rPr>
          <w:rFonts w:ascii="Avenir-Book" w:hAnsi="Avenir-Book" w:cs="Arial"/>
          <w:sz w:val="22"/>
          <w:szCs w:val="22"/>
        </w:rPr>
        <w:t xml:space="preserve"> Presupuesto de </w:t>
      </w:r>
      <w:r w:rsidRPr="00AD165E">
        <w:rPr>
          <w:rFonts w:ascii="Avenir-Book" w:hAnsi="Avenir-Book" w:cs="Arial"/>
          <w:sz w:val="22"/>
          <w:szCs w:val="22"/>
        </w:rPr>
        <w:t xml:space="preserve">Ingresos, se formuló el calendario del Presupuesto de Ingresos para el ejercicio fiscal 2019, contenido en el </w:t>
      </w:r>
      <w:r w:rsidRPr="00AD165E">
        <w:rPr>
          <w:rFonts w:ascii="Avenir-Book" w:hAnsi="Avenir-Book" w:cs="Arial"/>
          <w:b/>
          <w:i/>
          <w:sz w:val="22"/>
          <w:szCs w:val="22"/>
        </w:rPr>
        <w:t xml:space="preserve">Cuadro 1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Ingresos.</w:t>
      </w:r>
    </w:p>
    <w:p w:rsidR="000B3C73" w:rsidRPr="00AD165E" w:rsidRDefault="000B3C73" w:rsidP="000B3C73">
      <w:pPr>
        <w:autoSpaceDE w:val="0"/>
        <w:autoSpaceDN w:val="0"/>
        <w:adjustRightInd w:val="0"/>
        <w:jc w:val="both"/>
        <w:rPr>
          <w:rFonts w:ascii="Avenir-Book" w:hAnsi="Avenir-Book" w:cs="Arial"/>
          <w:sz w:val="22"/>
          <w:szCs w:val="22"/>
        </w:rPr>
      </w:pPr>
    </w:p>
    <w:p w:rsidR="008239A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9</w:t>
      </w:r>
      <w:r w:rsidR="000B3C73" w:rsidRPr="00AD165E">
        <w:rPr>
          <w:rFonts w:ascii="Avenir-Book" w:hAnsi="Avenir-Book" w:cs="Arial"/>
          <w:b/>
          <w:sz w:val="22"/>
          <w:szCs w:val="22"/>
        </w:rPr>
        <w:t xml:space="preserve">.- </w:t>
      </w:r>
      <w:r w:rsidR="000B3C73" w:rsidRPr="00AD165E">
        <w:rPr>
          <w:rFonts w:ascii="Avenir-Book" w:hAnsi="Avenir-Book" w:cs="Arial"/>
          <w:sz w:val="22"/>
          <w:szCs w:val="22"/>
        </w:rPr>
        <w:t>Para dar cumplimiento a lo establecido en el artículo 61 fracción II inciso c), de la Ley de General de Contabilidad Gubernamental, dentro del proceso de integración de la información financiera para la elaboración de los presupuestos, se deberán incorporar las clasificaciones presupuestales con base en las Nomas emitidas por el Consejo Nacional de Armonización Contable, en este sentido se presenta las siguientes clasificaciones:</w:t>
      </w:r>
    </w:p>
    <w:p w:rsidR="000B3C73" w:rsidRPr="00AD165E" w:rsidRDefault="000B3C73" w:rsidP="000B3C73">
      <w:pPr>
        <w:jc w:val="both"/>
        <w:rPr>
          <w:rFonts w:ascii="Avenir-Book" w:hAnsi="Avenir-Book" w:cs="Arial"/>
          <w:sz w:val="22"/>
          <w:szCs w:val="22"/>
        </w:rPr>
      </w:pPr>
    </w:p>
    <w:p w:rsidR="000F46DE" w:rsidRPr="00AD165E" w:rsidRDefault="000B3C73" w:rsidP="0094029A">
      <w:pPr>
        <w:pStyle w:val="Prrafodelista"/>
        <w:numPr>
          <w:ilvl w:val="0"/>
          <w:numId w:val="13"/>
        </w:numPr>
        <w:spacing w:after="0"/>
        <w:jc w:val="both"/>
        <w:rPr>
          <w:rFonts w:ascii="Avenir-Book" w:hAnsi="Avenir-Book" w:cs="Arial"/>
        </w:rPr>
      </w:pPr>
      <w:r w:rsidRPr="00AD165E">
        <w:rPr>
          <w:rFonts w:ascii="Avenir-Book" w:hAnsi="Avenir-Book" w:cs="Arial"/>
          <w:b/>
        </w:rPr>
        <w:t>Clasificación por Fuente de Financiamiento</w:t>
      </w:r>
      <w:r w:rsidRPr="00AD165E">
        <w:rPr>
          <w:rFonts w:ascii="Avenir-Book" w:hAnsi="Avenir-Book" w:cs="Arial"/>
        </w:rPr>
        <w:t xml:space="preserve">, en la que los ingresos se clasifican y se muestran en el </w:t>
      </w:r>
      <w:r w:rsidRPr="00AD165E">
        <w:rPr>
          <w:rFonts w:ascii="Avenir-Book" w:hAnsi="Avenir-Book" w:cs="Arial"/>
          <w:b/>
          <w:i/>
        </w:rPr>
        <w:t xml:space="preserve">Cuadro 2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0F46DE" w:rsidRPr="00AD165E" w:rsidRDefault="000F46DE" w:rsidP="000B3C73">
      <w:pPr>
        <w:pStyle w:val="Prrafodelista"/>
        <w:spacing w:after="0"/>
        <w:ind w:left="420"/>
        <w:jc w:val="both"/>
        <w:rPr>
          <w:rFonts w:ascii="Avenir-Book" w:hAnsi="Avenir-Book" w:cs="Arial"/>
        </w:rPr>
      </w:pPr>
    </w:p>
    <w:p w:rsidR="000B3C73" w:rsidRPr="00AD165E" w:rsidRDefault="000B3C73" w:rsidP="002E536D">
      <w:pPr>
        <w:pStyle w:val="Prrafodelista"/>
        <w:spacing w:after="0"/>
        <w:ind w:left="420"/>
        <w:jc w:val="both"/>
        <w:rPr>
          <w:rFonts w:ascii="Avenir-Book" w:hAnsi="Avenir-Book" w:cs="Arial"/>
        </w:rPr>
      </w:pPr>
      <w:r w:rsidRPr="00AD165E">
        <w:rPr>
          <w:rFonts w:ascii="Avenir-Book" w:hAnsi="Avenir-Book" w:cs="Arial"/>
        </w:rPr>
        <w:t>Los importes que comprende dicho cuadro, son Recursos Fiscales y Recursos Federales identificados por fuente de financiamiento, aprobados en el Presupuesto de Egresos de la Federación.</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0B3C73" w:rsidP="0094029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rPr>
        <w:t>Clasificación por Tipo de Gasto</w:t>
      </w:r>
      <w:r w:rsidRPr="00AD165E">
        <w:rPr>
          <w:rFonts w:ascii="Avenir-Book" w:hAnsi="Avenir-Book" w:cs="Arial"/>
        </w:rPr>
        <w:t xml:space="preserve">, en el que el presupuesto aprobado clasifica las transacciones públicas que generan gastos con los grandes agregados de la clasificación económica presentándolos en Corriente, de Capital, Amortización de la deuda y disminución de pasivos, Pensiones y Jubilaciones y, Participaciones, tal como lo muestra el </w:t>
      </w:r>
      <w:r w:rsidRPr="00AD165E">
        <w:rPr>
          <w:rFonts w:ascii="Avenir-Book" w:hAnsi="Avenir-Book" w:cs="Arial"/>
          <w:b/>
          <w:i/>
        </w:rPr>
        <w:t xml:space="preserve">Cuadro 3 del </w:t>
      </w:r>
      <w:r w:rsidR="00941DC9" w:rsidRPr="00AD165E">
        <w:rPr>
          <w:rFonts w:ascii="Avenir-Book" w:hAnsi="Avenir-Book" w:cs="Arial"/>
          <w:b/>
          <w:i/>
        </w:rPr>
        <w:t>Anexo 1</w:t>
      </w:r>
      <w:r w:rsidRPr="00AD165E">
        <w:rPr>
          <w:rFonts w:ascii="Avenir-Book" w:hAnsi="Avenir-Book" w:cs="Arial"/>
          <w:b/>
          <w:i/>
        </w:rPr>
        <w:t xml:space="preserve"> del Presupuesto de Egresos</w:t>
      </w:r>
      <w:r w:rsidRPr="00AD165E">
        <w:rPr>
          <w:rFonts w:ascii="Avenir-Book" w:hAnsi="Avenir-Book" w:cs="Arial"/>
        </w:rPr>
        <w:t>.</w:t>
      </w:r>
    </w:p>
    <w:p w:rsidR="00983D9F" w:rsidRPr="00AD165E" w:rsidRDefault="00983D9F" w:rsidP="000B3C73">
      <w:pPr>
        <w:autoSpaceDE w:val="0"/>
        <w:autoSpaceDN w:val="0"/>
        <w:adjustRightInd w:val="0"/>
        <w:jc w:val="both"/>
        <w:rPr>
          <w:rFonts w:ascii="Avenir-Book" w:hAnsi="Avenir-Book" w:cs="Arial"/>
          <w:b/>
          <w:bCs/>
          <w:sz w:val="22"/>
          <w:szCs w:val="22"/>
          <w:highlight w:val="yellow"/>
          <w:u w:val="single"/>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w:t>
      </w:r>
    </w:p>
    <w:p w:rsidR="000B3C73" w:rsidRPr="00AD165E" w:rsidRDefault="000B3C73" w:rsidP="000B3C73">
      <w:pPr>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 Corriente</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 Estimado para este rubro por el </w:t>
      </w:r>
      <w:r w:rsidR="00F91217" w:rsidRPr="00AD165E">
        <w:rPr>
          <w:rFonts w:ascii="Avenir-Book" w:hAnsi="Avenir-Book" w:cs="Arial"/>
          <w:sz w:val="22"/>
          <w:szCs w:val="22"/>
        </w:rPr>
        <w:t>importe de $4,567’528,793.00</w:t>
      </w:r>
      <w:r w:rsidRPr="00AD165E">
        <w:rPr>
          <w:rFonts w:ascii="Avenir-Book" w:hAnsi="Avenir-Book" w:cs="Arial"/>
          <w:sz w:val="22"/>
          <w:szCs w:val="22"/>
        </w:rPr>
        <w:t>.</w:t>
      </w:r>
    </w:p>
    <w:p w:rsidR="000B3C73" w:rsidRPr="00AD165E" w:rsidRDefault="000B3C73"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r w:rsidRPr="00AD165E">
        <w:rPr>
          <w:rFonts w:ascii="Avenir-Book" w:hAnsi="Avenir-Book" w:cs="Arial"/>
          <w:b/>
        </w:rPr>
        <w:t>1000  Servicios Personales</w:t>
      </w:r>
    </w:p>
    <w:p w:rsidR="000B3C73" w:rsidRPr="00AD165E" w:rsidRDefault="000B3C73" w:rsidP="000B3C73">
      <w:pPr>
        <w:pStyle w:val="Sinespaciado"/>
        <w:rPr>
          <w:rFonts w:ascii="Avenir-Book" w:hAnsi="Avenir-Book" w:cs="Arial"/>
          <w:b/>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el ej</w:t>
      </w:r>
      <w:r w:rsidR="00F91217" w:rsidRPr="00AD165E">
        <w:rPr>
          <w:rFonts w:ascii="Avenir-Book" w:hAnsi="Avenir-Book" w:cs="Arial"/>
          <w:sz w:val="22"/>
          <w:szCs w:val="22"/>
        </w:rPr>
        <w:t>ercicio 2019 se aprobarán $1,639’949,015</w:t>
      </w:r>
      <w:r w:rsidR="000B7A0F" w:rsidRPr="00AD165E">
        <w:rPr>
          <w:rFonts w:ascii="Avenir-Book" w:hAnsi="Avenir-Book" w:cs="Arial"/>
          <w:sz w:val="22"/>
          <w:szCs w:val="22"/>
        </w:rPr>
        <w:t>.00</w:t>
      </w:r>
      <w:r w:rsidRPr="00AD165E">
        <w:rPr>
          <w:rFonts w:ascii="Avenir-Book" w:hAnsi="Avenir-Book" w:cs="Arial"/>
          <w:sz w:val="22"/>
          <w:szCs w:val="22"/>
        </w:rPr>
        <w:t>, recursos 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rsidR="000B3C73" w:rsidRPr="00AD165E" w:rsidRDefault="000B3C73" w:rsidP="000B3C73">
      <w:pPr>
        <w:autoSpaceDE w:val="0"/>
        <w:autoSpaceDN w:val="0"/>
        <w:adjustRightInd w:val="0"/>
        <w:jc w:val="both"/>
        <w:rPr>
          <w:rFonts w:ascii="Avenir-Book" w:hAnsi="Avenir-Book" w:cs="Arial"/>
          <w:sz w:val="22"/>
          <w:szCs w:val="22"/>
        </w:rPr>
      </w:pPr>
    </w:p>
    <w:p w:rsidR="00EB3504" w:rsidRPr="00AD165E" w:rsidRDefault="000B3C73" w:rsidP="000B7A0F">
      <w:pPr>
        <w:autoSpaceDE w:val="0"/>
        <w:autoSpaceDN w:val="0"/>
        <w:adjustRightInd w:val="0"/>
        <w:jc w:val="both"/>
        <w:rPr>
          <w:rFonts w:ascii="Avenir-Book" w:hAnsi="Avenir-Book" w:cs="Arial"/>
          <w:b/>
        </w:rPr>
      </w:pPr>
      <w:r w:rsidRPr="00AD165E">
        <w:rPr>
          <w:rFonts w:ascii="Avenir-Book" w:hAnsi="Avenir-Book" w:cs="Arial"/>
          <w:sz w:val="22"/>
          <w:szCs w:val="22"/>
        </w:rPr>
        <w:t>Estos recursos c</w:t>
      </w:r>
      <w:r w:rsidR="005E161F" w:rsidRPr="00AD165E">
        <w:rPr>
          <w:rFonts w:ascii="Avenir-Book" w:hAnsi="Avenir-Book" w:cs="Arial"/>
          <w:sz w:val="22"/>
          <w:szCs w:val="22"/>
        </w:rPr>
        <w:t>orresponden al pago de los 6,707</w:t>
      </w:r>
      <w:r w:rsidRPr="00AD165E">
        <w:rPr>
          <w:rFonts w:ascii="Avenir-Book" w:hAnsi="Avenir-Book" w:cs="Arial"/>
          <w:sz w:val="22"/>
          <w:szCs w:val="22"/>
        </w:rPr>
        <w:t xml:space="preserve"> trabajadores al servicio del H</w:t>
      </w:r>
      <w:r w:rsidR="005E161F" w:rsidRPr="00AD165E">
        <w:rPr>
          <w:rFonts w:ascii="Avenir-Book" w:hAnsi="Avenir-Book" w:cs="Arial"/>
          <w:sz w:val="22"/>
          <w:szCs w:val="22"/>
        </w:rPr>
        <w:t>.</w:t>
      </w:r>
      <w:r w:rsidRPr="00AD165E">
        <w:rPr>
          <w:rFonts w:ascii="Avenir-Book" w:hAnsi="Avenir-Book" w:cs="Arial"/>
          <w:sz w:val="22"/>
          <w:szCs w:val="22"/>
        </w:rPr>
        <w:t xml:space="preserve"> Ayuntamiento del Municipi</w:t>
      </w:r>
      <w:r w:rsidR="005E161F" w:rsidRPr="00AD165E">
        <w:rPr>
          <w:rFonts w:ascii="Avenir-Book" w:hAnsi="Avenir-Book" w:cs="Arial"/>
          <w:sz w:val="22"/>
          <w:szCs w:val="22"/>
        </w:rPr>
        <w:t xml:space="preserve">o de Puebla, de los cuales 1,689 </w:t>
      </w:r>
      <w:r w:rsidRPr="00AD165E">
        <w:rPr>
          <w:rFonts w:ascii="Avenir-Book" w:hAnsi="Avenir-Book" w:cs="Arial"/>
          <w:sz w:val="22"/>
          <w:szCs w:val="22"/>
        </w:rPr>
        <w:t>aplican al personal de base sindi</w:t>
      </w:r>
      <w:r w:rsidR="001E4062" w:rsidRPr="00AD165E">
        <w:rPr>
          <w:rFonts w:ascii="Avenir-Book" w:hAnsi="Avenir-Book" w:cs="Arial"/>
          <w:sz w:val="22"/>
          <w:szCs w:val="22"/>
        </w:rPr>
        <w:t>calizado y no sindicalizado, 638</w:t>
      </w:r>
      <w:r w:rsidRPr="00AD165E">
        <w:rPr>
          <w:rFonts w:ascii="Avenir-Book" w:hAnsi="Avenir-Book" w:cs="Arial"/>
          <w:sz w:val="22"/>
          <w:szCs w:val="22"/>
        </w:rPr>
        <w:t xml:space="preserve"> a pensionados, 14 a </w:t>
      </w:r>
      <w:r w:rsidR="001E4062" w:rsidRPr="00AD165E">
        <w:rPr>
          <w:rFonts w:ascii="Avenir-Book" w:hAnsi="Avenir-Book" w:cs="Arial"/>
          <w:sz w:val="22"/>
          <w:szCs w:val="22"/>
        </w:rPr>
        <w:t>incapacitados permanentes, 1,856</w:t>
      </w:r>
      <w:r w:rsidR="00AD165E">
        <w:rPr>
          <w:rFonts w:ascii="Avenir-Book" w:hAnsi="Avenir-Book" w:cs="Arial"/>
          <w:sz w:val="22"/>
          <w:szCs w:val="22"/>
        </w:rPr>
        <w:t xml:space="preserve"> </w:t>
      </w:r>
      <w:r w:rsidR="001E4062" w:rsidRPr="00AD165E">
        <w:rPr>
          <w:rFonts w:ascii="Avenir-Book" w:hAnsi="Avenir-Book" w:cs="Arial"/>
          <w:sz w:val="22"/>
          <w:szCs w:val="22"/>
        </w:rPr>
        <w:t>a personal confianza y 2,510</w:t>
      </w:r>
      <w:r w:rsidRPr="00AD165E">
        <w:rPr>
          <w:rFonts w:ascii="Avenir-Book" w:hAnsi="Avenir-Book" w:cs="Arial"/>
          <w:sz w:val="22"/>
          <w:szCs w:val="22"/>
        </w:rPr>
        <w:t>a personal operativo de Segurida</w:t>
      </w:r>
      <w:r w:rsidR="001E4062" w:rsidRPr="00AD165E">
        <w:rPr>
          <w:rFonts w:ascii="Avenir-Book" w:hAnsi="Avenir-Book" w:cs="Arial"/>
          <w:sz w:val="22"/>
          <w:szCs w:val="22"/>
        </w:rPr>
        <w:t>d Pública y Tránsito Municipal.</w:t>
      </w:r>
    </w:p>
    <w:p w:rsidR="000B7A0F" w:rsidRPr="00AD165E" w:rsidRDefault="000B7A0F"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r w:rsidRPr="00AD165E">
        <w:rPr>
          <w:rFonts w:ascii="Avenir-Book" w:hAnsi="Avenir-Book" w:cs="Arial"/>
          <w:b/>
        </w:rPr>
        <w:t>2000 Materiales y Suministros</w:t>
      </w:r>
    </w:p>
    <w:p w:rsidR="000B3C73" w:rsidRPr="00AD165E" w:rsidRDefault="000B3C73" w:rsidP="000B3C73">
      <w:pPr>
        <w:pStyle w:val="Sinespaciado"/>
        <w:rPr>
          <w:rFonts w:ascii="Avenir-Book" w:hAnsi="Avenir-Book" w:cs="Arial"/>
          <w:b/>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el ejerc</w:t>
      </w:r>
      <w:r w:rsidR="001E4062" w:rsidRPr="00AD165E">
        <w:rPr>
          <w:rFonts w:ascii="Avenir-Book" w:hAnsi="Avenir-Book" w:cs="Arial"/>
          <w:sz w:val="22"/>
          <w:szCs w:val="22"/>
        </w:rPr>
        <w:t>icio 2019 se tienen asignados $278’669,730.00</w:t>
      </w:r>
      <w:r w:rsidRPr="00AD165E">
        <w:rPr>
          <w:rFonts w:ascii="Avenir-Book" w:hAnsi="Avenir-Book" w:cs="Arial"/>
          <w:sz w:val="22"/>
          <w:szCs w:val="22"/>
        </w:rPr>
        <w:t xml:space="preserve"> en </w:t>
      </w:r>
      <w:r w:rsidR="00AD165E" w:rsidRPr="00AD165E">
        <w:rPr>
          <w:rFonts w:ascii="Avenir-Book" w:hAnsi="Avenir-Book" w:cs="Arial"/>
          <w:sz w:val="22"/>
          <w:szCs w:val="22"/>
        </w:rPr>
        <w:t>este</w:t>
      </w:r>
      <w:r w:rsidRPr="00AD165E">
        <w:rPr>
          <w:rFonts w:ascii="Avenir-Book" w:hAnsi="Avenir-Book" w:cs="Arial"/>
          <w:sz w:val="22"/>
          <w:szCs w:val="22"/>
        </w:rPr>
        <w:t xml:space="preserve"> capítulo, que considera los rubros de materiales de oficina, materiales de limpieza, papelería, uniformes y combustible para los vehículos del Municipio, así como materiales para comunicación social </w:t>
      </w:r>
      <w:r w:rsidR="001E4062" w:rsidRPr="00AD165E">
        <w:rPr>
          <w:rFonts w:ascii="Avenir-Book" w:hAnsi="Avenir-Book" w:cs="Arial"/>
          <w:sz w:val="22"/>
          <w:szCs w:val="22"/>
        </w:rPr>
        <w:t>para</w:t>
      </w:r>
      <w:r w:rsidRPr="00AD165E">
        <w:rPr>
          <w:rFonts w:ascii="Avenir-Book" w:hAnsi="Avenir-Book" w:cs="Arial"/>
          <w:sz w:val="22"/>
          <w:szCs w:val="22"/>
        </w:rPr>
        <w:t xml:space="preserve"> las impresiones y publicaciones oficiales del municipio.</w:t>
      </w:r>
    </w:p>
    <w:p w:rsidR="000B3C73" w:rsidRPr="00AD165E" w:rsidRDefault="000B3C73" w:rsidP="000B3C73">
      <w:pPr>
        <w:pStyle w:val="Sinespaciado"/>
        <w:rPr>
          <w:rFonts w:ascii="Avenir-Book" w:hAnsi="Avenir-Book" w:cs="Arial"/>
          <w:b/>
        </w:rPr>
      </w:pPr>
      <w:r w:rsidRPr="00AD165E">
        <w:rPr>
          <w:rFonts w:ascii="Avenir-Book" w:hAnsi="Avenir-Book" w:cs="Arial"/>
          <w:b/>
        </w:rPr>
        <w:t>3000 Servicios Generales</w:t>
      </w:r>
    </w:p>
    <w:p w:rsidR="000B3C73" w:rsidRPr="00AD165E" w:rsidRDefault="000B3C73" w:rsidP="000B3C73">
      <w:pPr>
        <w:pStyle w:val="Sinespaciado"/>
        <w:rPr>
          <w:rFonts w:ascii="Avenir-Book" w:hAnsi="Avenir-Book" w:cs="Arial"/>
          <w:b/>
        </w:rPr>
      </w:pPr>
    </w:p>
    <w:p w:rsidR="000B3C73" w:rsidRPr="00AD165E" w:rsidRDefault="000B3C73" w:rsidP="000B3C73">
      <w:pPr>
        <w:pStyle w:val="Sinespaciado"/>
        <w:jc w:val="both"/>
        <w:rPr>
          <w:rFonts w:ascii="Avenir-Book" w:hAnsi="Avenir-Book" w:cs="Arial"/>
        </w:rPr>
      </w:pPr>
      <w:r w:rsidRPr="00AD165E">
        <w:rPr>
          <w:rFonts w:ascii="Avenir-Book" w:hAnsi="Avenir-Book" w:cs="Arial"/>
        </w:rPr>
        <w:t>En este r</w:t>
      </w:r>
      <w:r w:rsidR="001E4062" w:rsidRPr="00AD165E">
        <w:rPr>
          <w:rFonts w:ascii="Avenir-Book" w:hAnsi="Avenir-Book" w:cs="Arial"/>
        </w:rPr>
        <w:t>ubro se tienen destinados $1,165’593,166.00</w:t>
      </w:r>
      <w:r w:rsidRPr="00AD165E">
        <w:rPr>
          <w:rFonts w:ascii="Avenir-Book" w:hAnsi="Avenir-Book" w:cs="Arial"/>
        </w:rPr>
        <w:t>, recursos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rsidR="00C3206C" w:rsidRPr="00AD165E" w:rsidRDefault="00C3206C" w:rsidP="000B3C73">
      <w:pPr>
        <w:pStyle w:val="Sinespaciado"/>
        <w:jc w:val="both"/>
        <w:rPr>
          <w:rFonts w:ascii="Avenir-Book" w:hAnsi="Avenir-Book" w:cs="Arial"/>
        </w:rPr>
      </w:pPr>
    </w:p>
    <w:p w:rsidR="000B3C73" w:rsidRPr="00AD165E" w:rsidRDefault="000B3C73" w:rsidP="000B3C73">
      <w:pPr>
        <w:pStyle w:val="Sinespaciado"/>
        <w:rPr>
          <w:rFonts w:ascii="Avenir-Book" w:hAnsi="Avenir-Book" w:cs="Arial"/>
          <w:b/>
        </w:rPr>
      </w:pPr>
      <w:r w:rsidRPr="00AD165E">
        <w:rPr>
          <w:rFonts w:ascii="Avenir-Book" w:hAnsi="Avenir-Book" w:cs="Arial"/>
          <w:b/>
        </w:rPr>
        <w:t>4000 Transferencias, asignaciones, subsidios y otras ayudas</w:t>
      </w:r>
    </w:p>
    <w:p w:rsidR="000B3C73" w:rsidRPr="00AD165E" w:rsidRDefault="000B3C73" w:rsidP="000B3C73">
      <w:pPr>
        <w:pStyle w:val="Sinespaciado"/>
        <w:rPr>
          <w:rFonts w:ascii="Avenir-Book" w:hAnsi="Avenir-Book" w:cs="Arial"/>
          <w:b/>
        </w:rPr>
      </w:pPr>
    </w:p>
    <w:p w:rsidR="000B3C73" w:rsidRPr="00AD165E" w:rsidRDefault="00EC2C59" w:rsidP="000B3C73">
      <w:pPr>
        <w:pStyle w:val="Sinespaciado"/>
        <w:jc w:val="both"/>
        <w:rPr>
          <w:rFonts w:ascii="Avenir-Book" w:hAnsi="Avenir-Book" w:cs="Arial"/>
        </w:rPr>
      </w:pPr>
      <w:r w:rsidRPr="00AD165E">
        <w:rPr>
          <w:rFonts w:ascii="Avenir-Book" w:hAnsi="Avenir-Book" w:cs="Arial"/>
        </w:rPr>
        <w:t>Para el ejercicio 2019</w:t>
      </w:r>
      <w:r w:rsidR="00C3206C" w:rsidRPr="00AD165E">
        <w:rPr>
          <w:rFonts w:ascii="Avenir-Book" w:hAnsi="Avenir-Book" w:cs="Arial"/>
        </w:rPr>
        <w:t xml:space="preserve">, </w:t>
      </w:r>
      <w:r w:rsidR="000B3C73" w:rsidRPr="00AD165E">
        <w:rPr>
          <w:rFonts w:ascii="Avenir-Book" w:hAnsi="Avenir-Book" w:cs="Arial"/>
        </w:rPr>
        <w:t>s</w:t>
      </w:r>
      <w:r w:rsidR="001E4062" w:rsidRPr="00AD165E">
        <w:rPr>
          <w:rFonts w:ascii="Avenir-Book" w:hAnsi="Avenir-Book" w:cs="Arial"/>
        </w:rPr>
        <w:t>e han pr</w:t>
      </w:r>
      <w:r w:rsidR="00F91217" w:rsidRPr="00AD165E">
        <w:rPr>
          <w:rFonts w:ascii="Avenir-Book" w:hAnsi="Avenir-Book" w:cs="Arial"/>
        </w:rPr>
        <w:t>ogramado $1´052’593,443</w:t>
      </w:r>
      <w:r w:rsidR="001E4062" w:rsidRPr="00AD165E">
        <w:rPr>
          <w:rFonts w:ascii="Avenir-Book" w:hAnsi="Avenir-Book" w:cs="Arial"/>
        </w:rPr>
        <w:t>.00</w:t>
      </w:r>
      <w:r w:rsidR="000B3C73" w:rsidRPr="00AD165E">
        <w:rPr>
          <w:rFonts w:ascii="Avenir-Book" w:hAnsi="Avenir-Book" w:cs="Arial"/>
        </w:rPr>
        <w:t>,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rsidR="000B3C73" w:rsidRPr="00AD165E" w:rsidRDefault="000B3C73" w:rsidP="000B3C73">
      <w:pPr>
        <w:pStyle w:val="Sinespaciado"/>
        <w:jc w:val="both"/>
        <w:rPr>
          <w:rFonts w:ascii="Avenir-Book" w:hAnsi="Avenir-Book" w:cs="Arial"/>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Sistema Municipal DIF </w:t>
      </w:r>
      <w:r w:rsidR="00D27CB3" w:rsidRPr="00AD165E">
        <w:rPr>
          <w:rFonts w:ascii="Avenir-Book" w:hAnsi="Avenir-Book" w:cs="Arial"/>
          <w:sz w:val="22"/>
          <w:szCs w:val="22"/>
        </w:rPr>
        <w:t>con un monto de $129’932,392</w:t>
      </w:r>
      <w:r w:rsidR="00EC2C59" w:rsidRPr="00AD165E">
        <w:rPr>
          <w:rFonts w:ascii="Avenir-Book" w:hAnsi="Avenir-Book" w:cs="Arial"/>
          <w:sz w:val="22"/>
          <w:szCs w:val="22"/>
        </w:rPr>
        <w:t>.00</w:t>
      </w:r>
      <w:r w:rsidRPr="00AD165E">
        <w:rPr>
          <w:rFonts w:ascii="Avenir-Book" w:hAnsi="Avenir-Book" w:cs="Arial"/>
          <w:sz w:val="22"/>
          <w:szCs w:val="22"/>
        </w:rPr>
        <w:t>, para atender los programas institucionales que se realizan en atención a personas de grupos vulnerables, personas con discapacidad, niños, niñas y adolescentes, personas de la tercera edad, de asistencia legal, combate a la discriminación, equidad de género, servicios médicos, odontológicos y programas de nutrición.</w:t>
      </w:r>
    </w:p>
    <w:p w:rsidR="000B3C73" w:rsidRPr="00AD165E" w:rsidRDefault="000B3C73"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Organismo Operador del Servicio de Limpia </w:t>
      </w:r>
      <w:r w:rsidR="00EC2C59" w:rsidRPr="00AD165E">
        <w:rPr>
          <w:rFonts w:ascii="Avenir-Book" w:hAnsi="Avenir-Book" w:cs="Arial"/>
          <w:sz w:val="22"/>
          <w:szCs w:val="22"/>
        </w:rPr>
        <w:t>con un total de $368’791,454.0</w:t>
      </w:r>
      <w:r w:rsidRPr="00AD165E">
        <w:rPr>
          <w:rFonts w:ascii="Avenir-Book" w:hAnsi="Avenir-Book" w:cs="Arial"/>
          <w:sz w:val="22"/>
          <w:szCs w:val="22"/>
        </w:rPr>
        <w:t>0, para el pago fundamentalmente de los concesionarios del servicio, trabajos especiales de recolección, traslado y disposición</w:t>
      </w:r>
      <w:r w:rsidR="000F46DE" w:rsidRPr="00AD165E">
        <w:rPr>
          <w:rFonts w:ascii="Avenir-Book" w:hAnsi="Avenir-Book" w:cs="Arial"/>
          <w:sz w:val="22"/>
          <w:szCs w:val="22"/>
        </w:rPr>
        <w:t xml:space="preserve"> final de desechos sólidos, así </w:t>
      </w:r>
      <w:r w:rsidRPr="00AD165E">
        <w:rPr>
          <w:rFonts w:ascii="Avenir-Book" w:hAnsi="Avenir-Book" w:cs="Arial"/>
          <w:sz w:val="22"/>
          <w:szCs w:val="22"/>
        </w:rPr>
        <w:t>como para el perso</w:t>
      </w:r>
      <w:r w:rsidR="000F46DE" w:rsidRPr="00AD165E">
        <w:rPr>
          <w:rFonts w:ascii="Avenir-Book" w:hAnsi="Avenir-Book" w:cs="Arial"/>
          <w:sz w:val="22"/>
          <w:szCs w:val="22"/>
        </w:rPr>
        <w:t>nal del Organismo, materiales, suministros y</w:t>
      </w:r>
      <w:r w:rsidRPr="00AD165E">
        <w:rPr>
          <w:rFonts w:ascii="Avenir-Book" w:hAnsi="Avenir-Book" w:cs="Arial"/>
          <w:sz w:val="22"/>
          <w:szCs w:val="22"/>
        </w:rPr>
        <w:t xml:space="preserve"> servicios generales.</w:t>
      </w:r>
    </w:p>
    <w:p w:rsidR="000B3C73" w:rsidRPr="00AD165E" w:rsidRDefault="000B3C73"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Instituto Municipal de Arte y Cultura </w:t>
      </w:r>
      <w:r w:rsidRPr="00AD165E">
        <w:rPr>
          <w:rFonts w:ascii="Avenir-Book" w:hAnsi="Avenir-Book" w:cs="Arial"/>
          <w:sz w:val="22"/>
          <w:szCs w:val="22"/>
        </w:rPr>
        <w:t>con un total d</w:t>
      </w:r>
      <w:r w:rsidR="00EC2C59" w:rsidRPr="00AD165E">
        <w:rPr>
          <w:rFonts w:ascii="Avenir-Book" w:hAnsi="Avenir-Book" w:cs="Arial"/>
          <w:sz w:val="22"/>
          <w:szCs w:val="22"/>
        </w:rPr>
        <w:t>e $37’511,303.00</w:t>
      </w:r>
      <w:r w:rsidRPr="00AD165E">
        <w:rPr>
          <w:rFonts w:ascii="Avenir-Book" w:hAnsi="Avenir-Book" w:cs="Arial"/>
          <w:sz w:val="22"/>
          <w:szCs w:val="22"/>
        </w:rPr>
        <w:t>, en beneficio a la actividad artística poblana a las zonas más desfavorecidas del Municipio, gracias a la activación de proyectos en juntas auxiliares y unidades habitacionales, la recuperación de espacios urbanos, la implementación de programas de estímulo a la creación y el desarrollo de proyectos a largo plazo como la Red Nuclear de Creación.</w:t>
      </w:r>
    </w:p>
    <w:p w:rsidR="000B3C73" w:rsidRPr="00AD165E" w:rsidRDefault="000B3C73" w:rsidP="000B3C73">
      <w:pPr>
        <w:autoSpaceDE w:val="0"/>
        <w:autoSpaceDN w:val="0"/>
        <w:adjustRightInd w:val="0"/>
        <w:jc w:val="both"/>
        <w:rPr>
          <w:rFonts w:ascii="Avenir-Book" w:hAnsi="Avenir-Book" w:cs="Arial"/>
          <w:b/>
          <w:sz w:val="22"/>
          <w:szCs w:val="22"/>
        </w:rPr>
      </w:pPr>
    </w:p>
    <w:p w:rsidR="000B3C73"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Municipal de Planeación</w:t>
      </w:r>
      <w:r w:rsidRPr="00AD165E">
        <w:rPr>
          <w:rFonts w:ascii="Avenir-Book" w:hAnsi="Avenir-Book" w:cs="Arial"/>
          <w:sz w:val="22"/>
          <w:szCs w:val="22"/>
        </w:rPr>
        <w:t xml:space="preserve"> por $24’739,83</w:t>
      </w:r>
      <w:r w:rsidR="00EC2C59" w:rsidRPr="00AD165E">
        <w:rPr>
          <w:rFonts w:ascii="Avenir-Book" w:hAnsi="Avenir-Book" w:cs="Arial"/>
          <w:sz w:val="22"/>
          <w:szCs w:val="22"/>
        </w:rPr>
        <w:t>4</w:t>
      </w:r>
      <w:r w:rsidRPr="00AD165E">
        <w:rPr>
          <w:rFonts w:ascii="Avenir-Book" w:hAnsi="Avenir-Book" w:cs="Arial"/>
          <w:sz w:val="22"/>
          <w:szCs w:val="22"/>
        </w:rPr>
        <w:t>.00, que apoye a formular mediante la planeación estratégica la formulación, instrumentación, control y evaluación de proyectos que promuevan el crecimiento socioeconómico y sustentable del Municipio, articulando las áreas de gobierno con la ciudadanía a efecto de contribuir en el desarrollo sustentable de la Ciudad.</w:t>
      </w:r>
    </w:p>
    <w:p w:rsidR="002174E1" w:rsidRPr="00AD165E" w:rsidRDefault="002174E1"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Municipal del Deporte</w:t>
      </w:r>
      <w:r w:rsidRPr="00AD165E">
        <w:rPr>
          <w:rFonts w:ascii="Avenir-Book" w:hAnsi="Avenir-Book" w:cs="Arial"/>
          <w:sz w:val="22"/>
          <w:szCs w:val="22"/>
        </w:rPr>
        <w:t xml:space="preserve"> po</w:t>
      </w:r>
      <w:r w:rsidR="00EC2C59" w:rsidRPr="00AD165E">
        <w:rPr>
          <w:rFonts w:ascii="Avenir-Book" w:hAnsi="Avenir-Book" w:cs="Arial"/>
          <w:sz w:val="22"/>
          <w:szCs w:val="22"/>
        </w:rPr>
        <w:t>r $24’794,653.00</w:t>
      </w:r>
      <w:r w:rsidRPr="00AD165E">
        <w:rPr>
          <w:rFonts w:ascii="Avenir-Book" w:hAnsi="Avenir-Book" w:cs="Arial"/>
          <w:sz w:val="22"/>
          <w:szCs w:val="22"/>
          <w:shd w:val="clear" w:color="auto" w:fill="FFFFFF"/>
        </w:rPr>
        <w:t xml:space="preserve">, </w:t>
      </w:r>
      <w:r w:rsidRPr="00AD165E">
        <w:rPr>
          <w:rFonts w:ascii="Avenir-Book" w:hAnsi="Avenir-Book" w:cs="Arial"/>
          <w:sz w:val="22"/>
          <w:szCs w:val="22"/>
        </w:rPr>
        <w:t xml:space="preserve">recurso que permitirá promover, impulsar y fomentar la </w:t>
      </w:r>
      <w:r w:rsidR="002174E1" w:rsidRPr="00AD165E">
        <w:rPr>
          <w:rFonts w:ascii="Avenir-Book" w:hAnsi="Avenir-Book" w:cs="Arial"/>
          <w:sz w:val="22"/>
          <w:szCs w:val="22"/>
        </w:rPr>
        <w:t>participación</w:t>
      </w:r>
      <w:r w:rsidRPr="00AD165E">
        <w:rPr>
          <w:rFonts w:ascii="Avenir-Book" w:hAnsi="Avenir-Book" w:cs="Arial"/>
          <w:sz w:val="22"/>
          <w:szCs w:val="22"/>
        </w:rPr>
        <w:t xml:space="preserve"> </w:t>
      </w:r>
      <w:r w:rsidR="002174E1">
        <w:rPr>
          <w:rFonts w:ascii="Avenir-Book" w:hAnsi="Avenir-Book" w:cs="Arial"/>
          <w:sz w:val="22"/>
          <w:szCs w:val="22"/>
        </w:rPr>
        <w:t xml:space="preserve">activa </w:t>
      </w:r>
      <w:r w:rsidRPr="00AD165E">
        <w:rPr>
          <w:rFonts w:ascii="Avenir-Book" w:hAnsi="Avenir-Book" w:cs="Arial"/>
          <w:sz w:val="22"/>
          <w:szCs w:val="22"/>
        </w:rPr>
        <w:t>de la juventud poblana para lograr el bienestar social del Municipio de Puebla y al mismo tiempo mejorar su condición de vida.</w:t>
      </w:r>
    </w:p>
    <w:p w:rsidR="0058293B" w:rsidRPr="00AD165E" w:rsidRDefault="0058293B"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de la Juventud</w:t>
      </w:r>
      <w:r w:rsidR="00E80013" w:rsidRPr="00AD165E">
        <w:rPr>
          <w:rFonts w:ascii="Avenir-Book" w:hAnsi="Avenir-Book" w:cs="Arial"/>
          <w:b/>
          <w:sz w:val="22"/>
          <w:szCs w:val="22"/>
        </w:rPr>
        <w:t xml:space="preserve"> </w:t>
      </w:r>
      <w:r w:rsidRPr="00AD165E">
        <w:rPr>
          <w:rFonts w:ascii="Avenir-Book" w:hAnsi="Avenir-Book" w:cs="Arial"/>
          <w:b/>
          <w:sz w:val="22"/>
          <w:szCs w:val="22"/>
        </w:rPr>
        <w:t>del Munic</w:t>
      </w:r>
      <w:r w:rsidR="00EC2C59" w:rsidRPr="00AD165E">
        <w:rPr>
          <w:rFonts w:ascii="Avenir-Book" w:hAnsi="Avenir-Book" w:cs="Arial"/>
          <w:b/>
          <w:sz w:val="22"/>
          <w:szCs w:val="22"/>
        </w:rPr>
        <w:t>ipio de Puebla</w:t>
      </w:r>
      <w:r w:rsidR="00EC2C59" w:rsidRPr="00AD165E">
        <w:rPr>
          <w:rFonts w:ascii="Avenir-Book" w:hAnsi="Avenir-Book" w:cs="Arial"/>
          <w:sz w:val="22"/>
          <w:szCs w:val="22"/>
        </w:rPr>
        <w:t xml:space="preserve"> por $9’555,400.00</w:t>
      </w:r>
      <w:r w:rsidRPr="00AD165E">
        <w:rPr>
          <w:rFonts w:ascii="Avenir-Book" w:hAnsi="Avenir-Book" w:cs="Arial"/>
          <w:sz w:val="22"/>
          <w:szCs w:val="22"/>
        </w:rPr>
        <w:t>,</w:t>
      </w:r>
      <w:r w:rsidR="00AD165E">
        <w:rPr>
          <w:rFonts w:ascii="Avenir-Book" w:hAnsi="Avenir-Book" w:cs="Arial"/>
          <w:sz w:val="22"/>
          <w:szCs w:val="22"/>
        </w:rPr>
        <w:t xml:space="preserve"> </w:t>
      </w:r>
      <w:r w:rsidRPr="00AD165E">
        <w:rPr>
          <w:rFonts w:ascii="Avenir-Book" w:hAnsi="Avenir-Book" w:cs="Arial"/>
          <w:sz w:val="22"/>
          <w:szCs w:val="22"/>
        </w:rPr>
        <w:t>para llevar a cabo los Programas Sociales dirigidos a jóvenes y promover la cultura, las artes, el bienestar físico y mental así como la construcción de tejido social particularmente de los grupos vulnerables y de escasos recursos.</w:t>
      </w:r>
    </w:p>
    <w:p w:rsidR="00C3206C" w:rsidRPr="00AD165E" w:rsidRDefault="00C3206C"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Industrial de Abastos</w:t>
      </w:r>
      <w:r w:rsidRPr="00AD165E">
        <w:rPr>
          <w:rFonts w:ascii="Avenir-Book" w:hAnsi="Avenir-Book" w:cs="Arial"/>
          <w:sz w:val="22"/>
          <w:szCs w:val="22"/>
        </w:rPr>
        <w:t xml:space="preserve"> por un monto de $9’000,000.00, que permita contribuir a mantener la salud de los habitantes del Municipio de Puebla, cumpliendo con las normas y estándares sanitarios de operación que garanticen un sacrificio humanitario, asegurando que los productos cárnicos que se comercializan y sean aptos para consumo humano.</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b/>
          <w:i/>
          <w:sz w:val="22"/>
          <w:szCs w:val="22"/>
        </w:rPr>
      </w:pPr>
      <w:r w:rsidRPr="00AD165E">
        <w:rPr>
          <w:rFonts w:ascii="Avenir-Book" w:hAnsi="Avenir-Book" w:cs="Arial"/>
          <w:sz w:val="22"/>
          <w:szCs w:val="22"/>
        </w:rPr>
        <w:t>El Presupuesto de</w:t>
      </w:r>
      <w:r w:rsidR="001E4062" w:rsidRPr="00AD165E">
        <w:rPr>
          <w:rFonts w:ascii="Avenir-Book" w:hAnsi="Avenir-Book" w:cs="Arial"/>
          <w:sz w:val="22"/>
          <w:szCs w:val="22"/>
        </w:rPr>
        <w:t xml:space="preserve"> Egresos para el ejercicio 2019</w:t>
      </w:r>
      <w:r w:rsidR="00051264" w:rsidRPr="00AD165E">
        <w:rPr>
          <w:rFonts w:ascii="Avenir-Book" w:hAnsi="Avenir-Book" w:cs="Arial"/>
          <w:sz w:val="22"/>
          <w:szCs w:val="22"/>
        </w:rPr>
        <w:t xml:space="preserve"> se distribuye por concepto de Subsidios y Ayudas Sociales </w:t>
      </w:r>
      <w:r w:rsidRPr="00AD165E">
        <w:rPr>
          <w:rFonts w:ascii="Avenir-Book" w:hAnsi="Avenir-Book" w:cs="Arial"/>
          <w:sz w:val="22"/>
          <w:szCs w:val="22"/>
        </w:rPr>
        <w:t xml:space="preserve">en el </w:t>
      </w:r>
      <w:r w:rsidRPr="00AD165E">
        <w:rPr>
          <w:rFonts w:ascii="Avenir-Book" w:hAnsi="Avenir-Book" w:cs="Arial"/>
          <w:b/>
          <w:sz w:val="22"/>
          <w:szCs w:val="22"/>
        </w:rPr>
        <w:t>C</w:t>
      </w:r>
      <w:r w:rsidR="001E4062" w:rsidRPr="00AD165E">
        <w:rPr>
          <w:rFonts w:ascii="Avenir-Book" w:hAnsi="Avenir-Book" w:cs="Arial"/>
          <w:b/>
          <w:i/>
          <w:sz w:val="22"/>
          <w:szCs w:val="22"/>
        </w:rPr>
        <w:t xml:space="preserve">uadro 4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0B3C73">
      <w:pPr>
        <w:pStyle w:val="Prrafodelista"/>
        <w:spacing w:after="0"/>
        <w:ind w:left="0"/>
        <w:jc w:val="both"/>
        <w:rPr>
          <w:rFonts w:ascii="Avenir-Book" w:hAnsi="Avenir-Book" w:cs="Arial"/>
        </w:rPr>
      </w:pPr>
      <w:r w:rsidRPr="00AD165E">
        <w:rPr>
          <w:rFonts w:ascii="Avenir-Book" w:hAnsi="Avenir-Book" w:cs="Arial"/>
        </w:rPr>
        <w:t>En estricto apego al artículo 67 de la Ley General de Contabilidad Gubernamental, se publicará en</w:t>
      </w:r>
      <w:r w:rsidR="00051264" w:rsidRPr="00AD165E">
        <w:rPr>
          <w:rFonts w:ascii="Avenir-Book" w:hAnsi="Avenir-Book" w:cs="Arial"/>
        </w:rPr>
        <w:t xml:space="preserve"> el portal digital del H.</w:t>
      </w:r>
      <w:r w:rsidRPr="00AD165E">
        <w:rPr>
          <w:rFonts w:ascii="Avenir-Book" w:hAnsi="Avenir-Book" w:cs="Arial"/>
        </w:rPr>
        <w:t xml:space="preserve"> Ayuntamiento del Municipio de Puebla, la información sobre los montos efectivamente pagados trimestralmente por concepto de ayudas y subsidios a los sectores económicos y sociales, informando sobre el número y nombre de la partida genérica del Clasificador por Objeto del Gasto, sector al que se dirige, relacionando a los subsidios con el sector económico y a las ayudas con el social, a partir de los siguientes datos: </w:t>
      </w:r>
    </w:p>
    <w:p w:rsidR="000B3C73" w:rsidRPr="00AD165E" w:rsidRDefault="000B3C73" w:rsidP="000B3C73">
      <w:pPr>
        <w:pStyle w:val="Prrafodelista"/>
        <w:spacing w:after="0"/>
        <w:ind w:left="0"/>
        <w:jc w:val="both"/>
        <w:rPr>
          <w:rFonts w:ascii="Avenir-Book" w:hAnsi="Avenir-Book" w:cs="Arial"/>
        </w:rPr>
      </w:pPr>
    </w:p>
    <w:p w:rsidR="000F46DE" w:rsidRPr="00AD165E" w:rsidRDefault="000B3C73" w:rsidP="000B3C73">
      <w:pPr>
        <w:pStyle w:val="Prrafodelista"/>
        <w:spacing w:after="0"/>
        <w:ind w:left="0"/>
        <w:jc w:val="both"/>
        <w:rPr>
          <w:rFonts w:ascii="Avenir-Book" w:hAnsi="Avenir-Book" w:cs="Arial"/>
        </w:rPr>
      </w:pPr>
      <w:r w:rsidRPr="00AD165E">
        <w:rPr>
          <w:rFonts w:ascii="Avenir-Book" w:hAnsi="Avenir-Book" w:cs="Arial"/>
        </w:rPr>
        <w:t>Nombre completo del Beneficiario, Clave Única de Registro de Población (CURP), cuando el beneficiario de la ayuda o subsidio sea una persona física y Registro Federal de Contribuyentes con homoclave (RFC); cuando el beneficiario de la ayuda o subsidio sea una persona moral o persona física con actividad empresarial y profesional, o en su caso, proceda informarlo de acuerdo con el Aviso de Protección de Datos Personales de la Tesorería Municipal del H</w:t>
      </w:r>
      <w:r w:rsidR="00051264" w:rsidRPr="00AD165E">
        <w:rPr>
          <w:rFonts w:ascii="Avenir-Book" w:hAnsi="Avenir-Book" w:cs="Arial"/>
        </w:rPr>
        <w:t>.</w:t>
      </w:r>
      <w:r w:rsidRPr="00AD165E">
        <w:rPr>
          <w:rFonts w:ascii="Avenir-Book" w:hAnsi="Avenir-Book" w:cs="Arial"/>
        </w:rPr>
        <w:t xml:space="preserve"> Ayuntamiento del Municipio de Puebla, el monto pagado al beneficiario del subsidio o ayuda, realizado por medio de transferencia electrónica, cheque, etc., y trimestre que se reporta.</w:t>
      </w:r>
    </w:p>
    <w:p w:rsidR="00DE475C" w:rsidRPr="00AD165E" w:rsidRDefault="00DE475C" w:rsidP="000B3C73">
      <w:pPr>
        <w:pStyle w:val="Prrafodelista"/>
        <w:spacing w:after="0"/>
        <w:ind w:left="0"/>
        <w:jc w:val="both"/>
        <w:rPr>
          <w:rFonts w:ascii="Avenir-Book" w:hAnsi="Avenir-Book" w:cs="Arial"/>
        </w:rPr>
      </w:pPr>
    </w:p>
    <w:p w:rsidR="000B3C73" w:rsidRPr="00AD165E" w:rsidRDefault="000B3C73" w:rsidP="000B3C73">
      <w:pPr>
        <w:pStyle w:val="Prrafodelista"/>
        <w:spacing w:after="0"/>
        <w:ind w:left="0"/>
        <w:jc w:val="both"/>
        <w:rPr>
          <w:rFonts w:ascii="Avenir-Book" w:hAnsi="Avenir-Book" w:cs="Arial"/>
        </w:rPr>
      </w:pPr>
      <w:r w:rsidRPr="00AD165E">
        <w:rPr>
          <w:rFonts w:ascii="Avenir-Book" w:hAnsi="Avenir-Book" w:cs="Arial"/>
        </w:rPr>
        <w:t>El registro contable de los subsidios y aportaciones deberá efectuarse al expedirse el recibo de retiro de fondos correspondientes, de tal forma que permita identificar su destino y beneficiario.</w:t>
      </w:r>
    </w:p>
    <w:p w:rsidR="000B3C73" w:rsidRPr="00AD165E" w:rsidRDefault="000B3C73" w:rsidP="000B3C73">
      <w:pPr>
        <w:pStyle w:val="Sinespaciado"/>
        <w:jc w:val="both"/>
        <w:rPr>
          <w:rFonts w:ascii="Avenir-Book" w:hAnsi="Avenir-Book" w:cs="Arial"/>
          <w:bCs/>
        </w:rPr>
      </w:pPr>
      <w:r w:rsidRPr="00AD165E">
        <w:rPr>
          <w:rFonts w:ascii="Avenir-Book" w:hAnsi="Avenir-Book" w:cs="Arial"/>
          <w:bCs/>
        </w:rPr>
        <w:t>Puntualizado en este contexto para el año 2019, el Presupuesto de Egresos no tiene considerado recurso público alguno para transferir a fideicomisos públicos.</w:t>
      </w:r>
    </w:p>
    <w:p w:rsidR="000B3C73" w:rsidRPr="00AD165E" w:rsidRDefault="000B3C73" w:rsidP="000B3C73">
      <w:pPr>
        <w:jc w:val="both"/>
        <w:rPr>
          <w:rFonts w:ascii="Avenir-Book" w:hAnsi="Avenir-Book" w:cs="Arial"/>
          <w:b/>
          <w:bCs/>
          <w:i/>
          <w:sz w:val="22"/>
          <w:szCs w:val="22"/>
          <w:lang w:eastAsia="es-MX"/>
        </w:rPr>
      </w:pPr>
    </w:p>
    <w:p w:rsidR="000B3C73" w:rsidRPr="00AD165E" w:rsidRDefault="000B3C73" w:rsidP="000B3C73">
      <w:pPr>
        <w:jc w:val="both"/>
        <w:rPr>
          <w:rFonts w:ascii="Avenir-Book" w:hAnsi="Avenir-Book" w:cs="Arial"/>
          <w:sz w:val="16"/>
          <w:szCs w:val="16"/>
        </w:rPr>
      </w:pPr>
      <w:r w:rsidRPr="00AD165E">
        <w:rPr>
          <w:rFonts w:ascii="Avenir-Book" w:hAnsi="Avenir-Book" w:cs="Arial"/>
          <w:b/>
          <w:bCs/>
          <w:i/>
          <w:sz w:val="16"/>
          <w:szCs w:val="16"/>
          <w:lang w:eastAsia="es-MX"/>
        </w:rPr>
        <w:t>Nota: se</w:t>
      </w:r>
      <w:r w:rsidR="00051264" w:rsidRPr="00AD165E">
        <w:rPr>
          <w:rFonts w:ascii="Avenir-Book" w:hAnsi="Avenir-Book" w:cs="Arial"/>
          <w:b/>
          <w:bCs/>
          <w:i/>
          <w:sz w:val="16"/>
          <w:szCs w:val="16"/>
          <w:lang w:eastAsia="es-MX"/>
        </w:rPr>
        <w:t xml:space="preserve"> incluye para dar cumplimiento </w:t>
      </w:r>
      <w:r w:rsidRPr="00AD165E">
        <w:rPr>
          <w:rFonts w:ascii="Avenir-Book" w:hAnsi="Avenir-Book" w:cs="Arial"/>
          <w:b/>
          <w:bCs/>
          <w:i/>
          <w:sz w:val="16"/>
          <w:szCs w:val="16"/>
          <w:lang w:eastAsia="es-MX"/>
        </w:rPr>
        <w:t>al Criterio 71 del Catálogo de Criterios de Evaluación para la Elaboración del índice de Información Presupuestal Municipal (IIPM) 2017 del Instituto Mexicano para la Competitividad, A.C.</w:t>
      </w:r>
    </w:p>
    <w:p w:rsidR="0058293B" w:rsidRPr="00AD165E" w:rsidRDefault="0058293B" w:rsidP="000B3C73">
      <w:pPr>
        <w:pStyle w:val="Sinespaciado"/>
        <w:rPr>
          <w:rFonts w:ascii="Avenir-Book" w:hAnsi="Avenir-Book" w:cs="Arial"/>
          <w:b/>
          <w:highlight w:val="green"/>
          <w:lang w:val="es-ES"/>
        </w:rPr>
      </w:pPr>
    </w:p>
    <w:p w:rsidR="000B3C73" w:rsidRPr="00AD165E" w:rsidRDefault="000B3C73" w:rsidP="000B3C73">
      <w:pPr>
        <w:pStyle w:val="Sinespaciado"/>
        <w:rPr>
          <w:rFonts w:ascii="Avenir-Book" w:hAnsi="Avenir-Book" w:cs="Arial"/>
          <w:b/>
        </w:rPr>
      </w:pPr>
      <w:r w:rsidRPr="00AD165E">
        <w:rPr>
          <w:rFonts w:ascii="Avenir-Book" w:hAnsi="Avenir-Book" w:cs="Arial"/>
          <w:b/>
        </w:rPr>
        <w:t>7000 Inversiones financieras y otras provisiones</w:t>
      </w:r>
    </w:p>
    <w:p w:rsidR="000B3C73" w:rsidRPr="00AD165E" w:rsidRDefault="000B3C73" w:rsidP="000B3C73">
      <w:pPr>
        <w:pStyle w:val="Sinespaciado"/>
        <w:rPr>
          <w:rFonts w:ascii="Avenir-Book" w:hAnsi="Avenir-Book" w:cs="Arial"/>
          <w:b/>
        </w:rPr>
      </w:pPr>
    </w:p>
    <w:p w:rsidR="000B3C73" w:rsidRPr="00AD165E" w:rsidRDefault="00EC2C59" w:rsidP="0058293B">
      <w:pPr>
        <w:pStyle w:val="Sinespaciado"/>
        <w:jc w:val="both"/>
        <w:rPr>
          <w:rFonts w:ascii="Avenir-Book" w:hAnsi="Avenir-Book" w:cs="Arial"/>
          <w:bCs/>
        </w:rPr>
      </w:pPr>
      <w:r w:rsidRPr="00AD165E">
        <w:rPr>
          <w:rFonts w:ascii="Avenir-Book" w:hAnsi="Avenir-Book" w:cs="Arial"/>
        </w:rPr>
        <w:t>Para el ejercicio 2019</w:t>
      </w:r>
      <w:r w:rsidR="000B3C73" w:rsidRPr="00AD165E">
        <w:rPr>
          <w:rFonts w:ascii="Avenir-Book" w:hAnsi="Avenir-Book" w:cs="Arial"/>
          <w:bCs/>
        </w:rPr>
        <w:t xml:space="preserve"> se tiene</w:t>
      </w:r>
      <w:r w:rsidR="003919E2" w:rsidRPr="00AD165E">
        <w:rPr>
          <w:rFonts w:ascii="Avenir-Book" w:hAnsi="Avenir-Book" w:cs="Arial"/>
          <w:bCs/>
        </w:rPr>
        <w:t>n provisionados recursos por $386’472,128</w:t>
      </w:r>
      <w:r w:rsidR="000B3C73" w:rsidRPr="00AD165E">
        <w:rPr>
          <w:rFonts w:ascii="Avenir-Book" w:hAnsi="Avenir-Book" w:cs="Arial"/>
          <w:bCs/>
        </w:rPr>
        <w:t>.00, para la atención de cualquier contingencia; así como para resarcir o prevenir daños a la infraestructura pública.</w:t>
      </w:r>
    </w:p>
    <w:p w:rsidR="00C3206C" w:rsidRPr="00AD165E" w:rsidRDefault="00C3206C"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r w:rsidRPr="00AD165E">
        <w:rPr>
          <w:rFonts w:ascii="Avenir-Book" w:hAnsi="Avenir-Book" w:cs="Arial"/>
          <w:b/>
        </w:rPr>
        <w:t>9000 Deuda pública</w:t>
      </w:r>
    </w:p>
    <w:p w:rsidR="000B3C73" w:rsidRPr="00AD165E" w:rsidRDefault="000B3C73" w:rsidP="000B3C73">
      <w:pPr>
        <w:pStyle w:val="Sinespaciado"/>
        <w:rPr>
          <w:rFonts w:ascii="Avenir-Book" w:hAnsi="Avenir-Book" w:cs="Arial"/>
          <w:highlight w:val="yellow"/>
        </w:rPr>
      </w:pPr>
    </w:p>
    <w:p w:rsidR="00B90002" w:rsidRPr="00AD165E" w:rsidRDefault="00B90002" w:rsidP="00B90002">
      <w:pPr>
        <w:autoSpaceDE w:val="0"/>
        <w:autoSpaceDN w:val="0"/>
        <w:adjustRightInd w:val="0"/>
        <w:jc w:val="both"/>
        <w:rPr>
          <w:rFonts w:ascii="Avenir-Book" w:hAnsi="Avenir-Book" w:cs="Arial"/>
          <w:bCs/>
          <w:sz w:val="22"/>
          <w:szCs w:val="22"/>
        </w:rPr>
      </w:pPr>
      <w:r w:rsidRPr="00AD165E">
        <w:rPr>
          <w:rFonts w:ascii="Avenir-Book" w:hAnsi="Avenir-Book" w:cs="Arial"/>
          <w:bCs/>
          <w:sz w:val="22"/>
          <w:szCs w:val="22"/>
        </w:rPr>
        <w:t>Este rubro se encuentra conformado por las erogaciones que se tienen programadas para el pago intereses, calificaciones a la calidad crediticia y pago de honorarios fiduciarios del crédito obtenido de administraciones anteriores. Para el ejercicio 2019 se tienen presupuestados recursos para</w:t>
      </w:r>
      <w:r w:rsidR="00051264" w:rsidRPr="00AD165E">
        <w:rPr>
          <w:rFonts w:ascii="Avenir-Book" w:hAnsi="Avenir-Book" w:cs="Arial"/>
          <w:sz w:val="22"/>
          <w:szCs w:val="22"/>
        </w:rPr>
        <w:t xml:space="preserve"> este rubro por $44’251</w:t>
      </w:r>
      <w:r w:rsidRPr="00AD165E">
        <w:rPr>
          <w:rFonts w:ascii="Avenir-Book" w:hAnsi="Avenir-Book" w:cs="Arial"/>
          <w:sz w:val="22"/>
          <w:szCs w:val="22"/>
        </w:rPr>
        <w:t>,311.00</w:t>
      </w:r>
      <w:r w:rsidRPr="00AD165E">
        <w:rPr>
          <w:rFonts w:ascii="Avenir-Book" w:hAnsi="Avenir-Book" w:cs="Arial"/>
          <w:bCs/>
          <w:sz w:val="22"/>
          <w:szCs w:val="22"/>
        </w:rPr>
        <w:t>.</w:t>
      </w:r>
    </w:p>
    <w:p w:rsidR="000B3C73" w:rsidRPr="00AD165E" w:rsidRDefault="000B3C73" w:rsidP="000B3C73">
      <w:pPr>
        <w:autoSpaceDE w:val="0"/>
        <w:autoSpaceDN w:val="0"/>
        <w:adjustRightInd w:val="0"/>
        <w:jc w:val="both"/>
        <w:rPr>
          <w:rFonts w:ascii="Avenir-Book" w:hAnsi="Avenir-Book" w:cs="Arial"/>
          <w:bCs/>
          <w:sz w:val="22"/>
          <w:szCs w:val="22"/>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 de Capital</w:t>
      </w:r>
    </w:p>
    <w:p w:rsidR="000B3C73" w:rsidRPr="00AD165E" w:rsidRDefault="000B3C73" w:rsidP="000B3C73">
      <w:pPr>
        <w:autoSpaceDE w:val="0"/>
        <w:autoSpaceDN w:val="0"/>
        <w:adjustRightInd w:val="0"/>
        <w:jc w:val="both"/>
        <w:rPr>
          <w:rFonts w:ascii="Avenir-Book" w:hAnsi="Avenir-Book" w:cs="Arial"/>
          <w:b/>
          <w:bCs/>
          <w:sz w:val="22"/>
          <w:szCs w:val="22"/>
          <w:u w:val="single"/>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Los rubros del capítulo 4000 </w:t>
      </w:r>
      <w:r w:rsidR="00540879" w:rsidRPr="00AD165E">
        <w:rPr>
          <w:rFonts w:ascii="Avenir-Book" w:hAnsi="Avenir-Book" w:cs="Arial"/>
          <w:sz w:val="22"/>
          <w:szCs w:val="22"/>
        </w:rPr>
        <w:t>T</w:t>
      </w:r>
      <w:r w:rsidRPr="00AD165E">
        <w:rPr>
          <w:rFonts w:ascii="Avenir-Book" w:hAnsi="Avenir-Book" w:cs="Arial"/>
          <w:sz w:val="22"/>
          <w:szCs w:val="22"/>
        </w:rPr>
        <w:t xml:space="preserve">ransferencias, </w:t>
      </w:r>
      <w:r w:rsidR="00540879" w:rsidRPr="00AD165E">
        <w:rPr>
          <w:rFonts w:ascii="Avenir-Book" w:hAnsi="Avenir-Book" w:cs="Arial"/>
          <w:sz w:val="22"/>
          <w:szCs w:val="22"/>
        </w:rPr>
        <w:t>Asignaciones, Subsidios y Otras Ayudas, 5000 Bienes Muebles, I</w:t>
      </w:r>
      <w:r w:rsidRPr="00AD165E">
        <w:rPr>
          <w:rFonts w:ascii="Avenir-Book" w:hAnsi="Avenir-Book" w:cs="Arial"/>
          <w:sz w:val="22"/>
          <w:szCs w:val="22"/>
        </w:rPr>
        <w:t>nmuebles e</w:t>
      </w:r>
      <w:r w:rsidR="00540879" w:rsidRPr="00AD165E">
        <w:rPr>
          <w:rFonts w:ascii="Avenir-Book" w:hAnsi="Avenir-Book" w:cs="Arial"/>
          <w:sz w:val="22"/>
          <w:szCs w:val="22"/>
        </w:rPr>
        <w:t xml:space="preserve"> Intangibles, así como 6000 Inversión P</w:t>
      </w:r>
      <w:r w:rsidRPr="00AD165E">
        <w:rPr>
          <w:rFonts w:ascii="Avenir-Book" w:hAnsi="Avenir-Book" w:cs="Arial"/>
          <w:sz w:val="22"/>
          <w:szCs w:val="22"/>
        </w:rPr>
        <w:t>ública, integran el gasto de capital</w:t>
      </w:r>
      <w:r w:rsidR="00E80013" w:rsidRPr="00AD165E">
        <w:rPr>
          <w:rFonts w:ascii="Avenir-Book" w:hAnsi="Avenir-Book" w:cs="Arial"/>
          <w:sz w:val="22"/>
          <w:szCs w:val="22"/>
        </w:rPr>
        <w:t xml:space="preserve"> </w:t>
      </w:r>
      <w:r w:rsidR="00051264" w:rsidRPr="00AD165E">
        <w:rPr>
          <w:rFonts w:ascii="Avenir-Book" w:hAnsi="Avenir-Book" w:cs="Arial"/>
          <w:sz w:val="22"/>
          <w:szCs w:val="22"/>
        </w:rPr>
        <w:t>por un monto de $330’710,453.00</w:t>
      </w:r>
      <w:r w:rsidRPr="00AD165E">
        <w:rPr>
          <w:rFonts w:ascii="Avenir-Book" w:hAnsi="Avenir-Book" w:cs="Arial"/>
          <w:sz w:val="22"/>
          <w:szCs w:val="22"/>
        </w:rPr>
        <w:t>.</w:t>
      </w:r>
    </w:p>
    <w:p w:rsidR="00540879" w:rsidRPr="00AD165E" w:rsidRDefault="00540879"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Adquisiciones de bienes muebles, inmuebles e intangibles, es decir, todos aquellos recursos programados operativa y estratégicamente para el mejoramiento de servicios públicos, que adicionalmente incrementan el patrimonio del H</w:t>
      </w:r>
      <w:r w:rsidR="00540879" w:rsidRPr="00AD165E">
        <w:rPr>
          <w:rFonts w:ascii="Avenir-Book" w:hAnsi="Avenir-Book" w:cs="Arial"/>
          <w:sz w:val="22"/>
          <w:szCs w:val="22"/>
        </w:rPr>
        <w:t>.</w:t>
      </w:r>
      <w:r w:rsidRPr="00AD165E">
        <w:rPr>
          <w:rFonts w:ascii="Avenir-Book" w:hAnsi="Avenir-Book" w:cs="Arial"/>
          <w:sz w:val="22"/>
          <w:szCs w:val="22"/>
        </w:rPr>
        <w:t xml:space="preserve"> Ayuntamiento del Municipio </w:t>
      </w:r>
      <w:r w:rsidR="00540879" w:rsidRPr="00AD165E">
        <w:rPr>
          <w:rFonts w:ascii="Avenir-Book" w:hAnsi="Avenir-Book" w:cs="Arial"/>
          <w:sz w:val="22"/>
          <w:szCs w:val="22"/>
        </w:rPr>
        <w:t>de Puebla, por un importe de $99’458,403</w:t>
      </w:r>
      <w:r w:rsidRPr="00AD165E">
        <w:rPr>
          <w:rFonts w:ascii="Avenir-Book" w:hAnsi="Avenir-Book" w:cs="Arial"/>
          <w:sz w:val="22"/>
          <w:szCs w:val="22"/>
        </w:rPr>
        <w:t>.00.</w:t>
      </w:r>
    </w:p>
    <w:p w:rsidR="000B3C73" w:rsidRPr="00AD165E" w:rsidRDefault="000B3C73" w:rsidP="000B3C73">
      <w:pPr>
        <w:autoSpaceDE w:val="0"/>
        <w:autoSpaceDN w:val="0"/>
        <w:adjustRightInd w:val="0"/>
        <w:jc w:val="both"/>
        <w:rPr>
          <w:rFonts w:ascii="Avenir-Book" w:hAnsi="Avenir-Book" w:cs="Arial"/>
          <w:sz w:val="22"/>
          <w:szCs w:val="22"/>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Asimismo, en el gasto de capital, el rubro de inversió</w:t>
      </w:r>
      <w:r w:rsidR="00540879" w:rsidRPr="00AD165E">
        <w:rPr>
          <w:rFonts w:ascii="Avenir-Book" w:hAnsi="Avenir-Book" w:cs="Arial"/>
          <w:sz w:val="22"/>
          <w:szCs w:val="22"/>
        </w:rPr>
        <w:t>n pública tiene programados $230’054,579.00</w:t>
      </w:r>
      <w:r w:rsidRPr="00AD165E">
        <w:rPr>
          <w:rFonts w:ascii="Avenir-Book" w:hAnsi="Avenir-Book" w:cs="Arial"/>
          <w:sz w:val="22"/>
          <w:szCs w:val="22"/>
        </w:rPr>
        <w:t>, para el mantenimiento y sostén de las obras que se desarrollan en beneficio de la ciudadanía del Municipio, con recursos etiquetados para Programas Sociales y Obra Comunitaria, así como los dirigidos a incentivar las actividades económicas, promoviendo el Desarrollo y la Estabilidad Municipal, a través de programas de infraestructura que preservan a Puebla, como parte de la Asociación Nacional de Ciudades Mexicanas que son Patrimonio de la Humanidad.</w:t>
      </w:r>
    </w:p>
    <w:p w:rsidR="000F46DE" w:rsidRPr="00AD165E" w:rsidRDefault="000F46DE" w:rsidP="000B3C73">
      <w:pPr>
        <w:autoSpaceDE w:val="0"/>
        <w:autoSpaceDN w:val="0"/>
        <w:adjustRightInd w:val="0"/>
        <w:jc w:val="both"/>
        <w:rPr>
          <w:rFonts w:ascii="Avenir-Book" w:hAnsi="Avenir-Book" w:cs="Arial"/>
          <w:sz w:val="22"/>
          <w:szCs w:val="22"/>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Este recurso está enfocado principalmente a Obras Públicas, de las que destacan:</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Rehabilitación de parques y jardines;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Modernización y mantenimiento a vialidades;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Pavimentación;</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Ampliación y dignificación de centros de salud;</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Construcción de rampas en espacios públicos;</w:t>
      </w:r>
    </w:p>
    <w:p w:rsidR="0058293B" w:rsidRPr="00AD165E" w:rsidRDefault="000B3C73" w:rsidP="00CA4270">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Construcción de desayunadores escolares;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Electrificación, y</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Infraestructura hidro</w:t>
      </w:r>
      <w:r w:rsidR="00E80013" w:rsidRPr="00AD165E">
        <w:rPr>
          <w:rFonts w:ascii="Avenir-Book" w:hAnsi="Avenir-Book" w:cs="Arial"/>
          <w:sz w:val="22"/>
          <w:szCs w:val="22"/>
        </w:rPr>
        <w:t xml:space="preserve"> </w:t>
      </w:r>
      <w:r w:rsidRPr="00AD165E">
        <w:rPr>
          <w:rFonts w:ascii="Avenir-Book" w:hAnsi="Avenir-Book" w:cs="Arial"/>
          <w:sz w:val="22"/>
          <w:szCs w:val="22"/>
        </w:rPr>
        <w:t>sanitaria.</w:t>
      </w:r>
    </w:p>
    <w:p w:rsidR="006B571D" w:rsidRPr="00AD165E" w:rsidRDefault="006B571D" w:rsidP="006B571D">
      <w:pPr>
        <w:autoSpaceDE w:val="0"/>
        <w:autoSpaceDN w:val="0"/>
        <w:adjustRightInd w:val="0"/>
        <w:spacing w:line="276" w:lineRule="auto"/>
        <w:ind w:left="1428"/>
        <w:jc w:val="both"/>
        <w:rPr>
          <w:rFonts w:ascii="Avenir-Book" w:hAnsi="Avenir-Book" w:cs="Arial"/>
          <w:sz w:val="22"/>
          <w:szCs w:val="22"/>
        </w:rPr>
      </w:pPr>
    </w:p>
    <w:p w:rsidR="006B571D" w:rsidRPr="00AD165E" w:rsidRDefault="006B571D" w:rsidP="007953F6">
      <w:pPr>
        <w:jc w:val="both"/>
        <w:rPr>
          <w:rFonts w:ascii="Avenir-Book" w:hAnsi="Avenir-Book" w:cs="Arial"/>
          <w:sz w:val="22"/>
          <w:szCs w:val="22"/>
        </w:rPr>
      </w:pPr>
      <w:r w:rsidRPr="00AD165E">
        <w:rPr>
          <w:rFonts w:ascii="Avenir-Book" w:hAnsi="Avenir-Book" w:cs="Arial"/>
          <w:sz w:val="22"/>
          <w:szCs w:val="22"/>
        </w:rPr>
        <w:t>Así mismo el importe de las transferencias de la posición presupuestal 41505 relativas al capítulo 5000 de Organismos Públicos Descentralizados por la cantidad de $1´197,471.00.</w:t>
      </w:r>
    </w:p>
    <w:p w:rsidR="004D0472" w:rsidRPr="00AD165E" w:rsidRDefault="004D0472" w:rsidP="000B3C73">
      <w:pPr>
        <w:autoSpaceDE w:val="0"/>
        <w:autoSpaceDN w:val="0"/>
        <w:adjustRightInd w:val="0"/>
        <w:jc w:val="both"/>
        <w:rPr>
          <w:rFonts w:ascii="Avenir-Book" w:hAnsi="Avenir-Book" w:cs="Arial"/>
          <w:b/>
          <w:bCs/>
          <w:sz w:val="22"/>
          <w:szCs w:val="22"/>
          <w:u w:val="single"/>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Financiamiento</w:t>
      </w:r>
    </w:p>
    <w:p w:rsidR="000B3C73" w:rsidRPr="00AD165E" w:rsidRDefault="000B3C73" w:rsidP="000B3C73">
      <w:pPr>
        <w:autoSpaceDE w:val="0"/>
        <w:autoSpaceDN w:val="0"/>
        <w:adjustRightInd w:val="0"/>
        <w:jc w:val="both"/>
        <w:rPr>
          <w:rFonts w:ascii="Avenir-Book" w:hAnsi="Avenir-Book" w:cs="Arial"/>
          <w:b/>
          <w:bCs/>
          <w:sz w:val="22"/>
          <w:szCs w:val="22"/>
        </w:rPr>
      </w:pPr>
    </w:p>
    <w:p w:rsidR="000B3C73" w:rsidRPr="00AD165E" w:rsidRDefault="000B3C73" w:rsidP="000B3C73">
      <w:pPr>
        <w:autoSpaceDE w:val="0"/>
        <w:autoSpaceDN w:val="0"/>
        <w:adjustRightInd w:val="0"/>
        <w:jc w:val="both"/>
        <w:rPr>
          <w:rFonts w:ascii="Avenir-Book" w:hAnsi="Avenir-Book" w:cs="Arial"/>
          <w:b/>
          <w:bCs/>
          <w:sz w:val="22"/>
          <w:szCs w:val="22"/>
        </w:rPr>
      </w:pPr>
      <w:r w:rsidRPr="00AD165E">
        <w:rPr>
          <w:rFonts w:ascii="Avenir-Book" w:hAnsi="Avenir-Book" w:cs="Arial"/>
          <w:b/>
          <w:bCs/>
          <w:sz w:val="22"/>
          <w:szCs w:val="22"/>
        </w:rPr>
        <w:t>Aplicaciones Financieras</w:t>
      </w:r>
    </w:p>
    <w:p w:rsidR="000B3C73" w:rsidRPr="00AD165E" w:rsidRDefault="000B3C73" w:rsidP="000B3C73">
      <w:pPr>
        <w:autoSpaceDE w:val="0"/>
        <w:autoSpaceDN w:val="0"/>
        <w:adjustRightInd w:val="0"/>
        <w:jc w:val="both"/>
        <w:rPr>
          <w:rFonts w:ascii="Avenir-Book" w:hAnsi="Avenir-Book" w:cs="Arial"/>
          <w:b/>
          <w:bCs/>
          <w:sz w:val="22"/>
          <w:szCs w:val="22"/>
        </w:rPr>
      </w:pPr>
    </w:p>
    <w:p w:rsidR="000B3C73" w:rsidRPr="00AD165E" w:rsidRDefault="00540879"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Se incluyen $52’019,702.00</w:t>
      </w:r>
      <w:r w:rsidR="000B3C73" w:rsidRPr="00AD165E">
        <w:rPr>
          <w:rFonts w:ascii="Avenir-Book" w:hAnsi="Avenir-Book" w:cs="Arial"/>
          <w:sz w:val="22"/>
          <w:szCs w:val="22"/>
        </w:rPr>
        <w:t xml:space="preserve"> destinados a cubrir el pago de capital, </w:t>
      </w:r>
      <w:r w:rsidR="006B571D" w:rsidRPr="00AD165E">
        <w:rPr>
          <w:rFonts w:ascii="Avenir-Book" w:hAnsi="Avenir-Book" w:cs="Arial"/>
          <w:sz w:val="22"/>
          <w:szCs w:val="22"/>
        </w:rPr>
        <w:t xml:space="preserve">del crédito existente, registrado </w:t>
      </w:r>
      <w:r w:rsidR="000B3C73" w:rsidRPr="00AD165E">
        <w:rPr>
          <w:rFonts w:ascii="Avenir-Book" w:hAnsi="Avenir-Book" w:cs="Arial"/>
          <w:sz w:val="22"/>
          <w:szCs w:val="22"/>
        </w:rPr>
        <w:t>por las administraciones municipales anteriores.</w:t>
      </w:r>
    </w:p>
    <w:p w:rsidR="000B3C73" w:rsidRPr="00AD165E" w:rsidRDefault="000B3C73" w:rsidP="000B3C73">
      <w:pPr>
        <w:pStyle w:val="Sinespaciado"/>
        <w:rPr>
          <w:rFonts w:ascii="Avenir-Book" w:hAnsi="Avenir-Book"/>
        </w:rPr>
      </w:pPr>
    </w:p>
    <w:p w:rsidR="000B3C73" w:rsidRPr="00AD165E" w:rsidRDefault="000B3C73" w:rsidP="0094029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rPr>
        <w:t xml:space="preserve">Clasificación por Objeto del Gasto, </w:t>
      </w:r>
      <w:r w:rsidRPr="00AD165E">
        <w:rPr>
          <w:rFonts w:ascii="Avenir-Book" w:hAnsi="Avenir-Book" w:cs="Arial"/>
        </w:rPr>
        <w:t>permite reflejar el registro de los gastos que se realizan en el proceso presupuestario. Resume, ordena y presenta los gastos programados, de acuerdo con la naturaleza de los bienes, servicios, activos y pasivos financieros, en el marco del Presupuesto de Egresos del H</w:t>
      </w:r>
      <w:r w:rsidR="006B571D" w:rsidRPr="00AD165E">
        <w:rPr>
          <w:rFonts w:ascii="Avenir-Book" w:hAnsi="Avenir-Book" w:cs="Arial"/>
        </w:rPr>
        <w:t>.</w:t>
      </w:r>
      <w:r w:rsidRPr="00AD165E">
        <w:rPr>
          <w:rFonts w:ascii="Avenir-Book" w:hAnsi="Avenir-Book" w:cs="Arial"/>
        </w:rPr>
        <w:t xml:space="preserve"> Ayuntamiento del Municipio de Puebla, presentando registros a tercer nivel de desagregación (partida genérica); su acreditación se contiene en el </w:t>
      </w:r>
      <w:r w:rsidRPr="00AD165E">
        <w:rPr>
          <w:rFonts w:ascii="Avenir-Book" w:hAnsi="Avenir-Book" w:cs="Arial"/>
          <w:b/>
        </w:rPr>
        <w:t>C</w:t>
      </w:r>
      <w:r w:rsidRPr="00AD165E">
        <w:rPr>
          <w:rFonts w:ascii="Avenir-Book" w:hAnsi="Avenir-Book" w:cs="Arial"/>
          <w:b/>
          <w:i/>
        </w:rPr>
        <w:t xml:space="preserve">uadro 5 del </w:t>
      </w:r>
      <w:r w:rsidR="00941DC9" w:rsidRPr="00AD165E">
        <w:rPr>
          <w:rFonts w:ascii="Avenir-Book" w:hAnsi="Avenir-Book" w:cs="Arial"/>
          <w:b/>
          <w:i/>
        </w:rPr>
        <w:t>Anexo 1</w:t>
      </w:r>
      <w:r w:rsidRPr="00AD165E">
        <w:rPr>
          <w:rFonts w:ascii="Avenir-Book" w:hAnsi="Avenir-Book" w:cs="Arial"/>
          <w:b/>
          <w:i/>
        </w:rPr>
        <w:t xml:space="preserve"> del Presupuesto de Egresos</w:t>
      </w:r>
      <w:r w:rsidRPr="00AD165E">
        <w:rPr>
          <w:rFonts w:ascii="Avenir-Book" w:hAnsi="Avenir-Book" w:cs="Arial"/>
        </w:rPr>
        <w:t>.</w:t>
      </w:r>
    </w:p>
    <w:p w:rsidR="008E0E63" w:rsidRPr="00AD165E" w:rsidRDefault="008E0E63" w:rsidP="000B3C73">
      <w:pPr>
        <w:autoSpaceDE w:val="0"/>
        <w:autoSpaceDN w:val="0"/>
        <w:adjustRightInd w:val="0"/>
        <w:ind w:left="6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sz w:val="22"/>
          <w:szCs w:val="22"/>
        </w:rPr>
      </w:pPr>
      <w:r w:rsidRPr="00AD165E">
        <w:rPr>
          <w:rFonts w:ascii="Avenir-Book" w:hAnsi="Avenir-Book" w:cs="Arial"/>
          <w:sz w:val="22"/>
          <w:szCs w:val="22"/>
        </w:rPr>
        <w:t xml:space="preserve">Continuando con la </w:t>
      </w:r>
      <w:r w:rsidRPr="00AD165E">
        <w:rPr>
          <w:rFonts w:ascii="Avenir-Book" w:hAnsi="Avenir-Book" w:cs="Arial"/>
          <w:b/>
          <w:sz w:val="22"/>
          <w:szCs w:val="22"/>
        </w:rPr>
        <w:t>Clasificación por Objeto del Gasto</w:t>
      </w:r>
      <w:r w:rsidR="006B571D" w:rsidRPr="00AD165E">
        <w:rPr>
          <w:rFonts w:ascii="Avenir-Book" w:hAnsi="Avenir-Book" w:cs="Arial"/>
          <w:sz w:val="22"/>
          <w:szCs w:val="22"/>
        </w:rPr>
        <w:t xml:space="preserve"> a nivel </w:t>
      </w:r>
      <w:r w:rsidRPr="00AD165E">
        <w:rPr>
          <w:rFonts w:ascii="Avenir-Book" w:hAnsi="Avenir-Book" w:cs="Arial"/>
          <w:sz w:val="22"/>
          <w:szCs w:val="22"/>
        </w:rPr>
        <w:t>capítulo</w:t>
      </w:r>
      <w:r w:rsidR="006B571D" w:rsidRPr="00AD165E">
        <w:rPr>
          <w:rFonts w:ascii="Avenir-Book" w:hAnsi="Avenir-Book" w:cs="Arial"/>
          <w:sz w:val="22"/>
          <w:szCs w:val="22"/>
        </w:rPr>
        <w:t xml:space="preserve"> y por unidad ejecutora</w:t>
      </w:r>
      <w:r w:rsidRPr="00AD165E">
        <w:rPr>
          <w:rFonts w:ascii="Avenir-Book" w:hAnsi="Avenir-Book" w:cs="Arial"/>
          <w:sz w:val="22"/>
          <w:szCs w:val="22"/>
        </w:rPr>
        <w:t xml:space="preserve">, se desglosa para cada una de las unidades ejecutoras del gasto, tal como se muestra en el </w:t>
      </w:r>
      <w:r w:rsidRPr="00AD165E">
        <w:rPr>
          <w:rFonts w:ascii="Avenir-Book" w:hAnsi="Avenir-Book" w:cs="Arial"/>
          <w:b/>
          <w:i/>
          <w:sz w:val="22"/>
          <w:szCs w:val="22"/>
        </w:rPr>
        <w:t xml:space="preserve">Cuadro 6 </w:t>
      </w:r>
      <w:r w:rsidRPr="00AD165E">
        <w:rPr>
          <w:rFonts w:ascii="Avenir-Book" w:hAnsi="Avenir-Book" w:cs="Arial"/>
          <w:b/>
          <w:sz w:val="22"/>
          <w:szCs w:val="22"/>
        </w:rPr>
        <w:t>y las Gráficas 1 y 2</w:t>
      </w:r>
      <w:r w:rsidR="00E80013" w:rsidRPr="00AD165E">
        <w:rPr>
          <w:rFonts w:ascii="Avenir-Book" w:hAnsi="Avenir-Book" w:cs="Arial"/>
          <w:b/>
          <w:sz w:val="22"/>
          <w:szCs w:val="22"/>
        </w:rPr>
        <w:t xml:space="preserve">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r w:rsidRPr="00AD165E">
        <w:rPr>
          <w:rFonts w:ascii="Avenir-Book" w:hAnsi="Avenir-Book" w:cs="Arial"/>
          <w:sz w:val="22"/>
          <w:szCs w:val="22"/>
        </w:rPr>
        <w:t>.</w:t>
      </w:r>
    </w:p>
    <w:p w:rsidR="000B3C73" w:rsidRPr="00AD165E" w:rsidRDefault="000B3C73" w:rsidP="000B3C73">
      <w:pPr>
        <w:ind w:left="60"/>
        <w:jc w:val="both"/>
        <w:rPr>
          <w:rFonts w:ascii="Avenir-Book" w:hAnsi="Avenir-Book" w:cs="Arial"/>
          <w:sz w:val="22"/>
          <w:szCs w:val="22"/>
        </w:rPr>
      </w:pPr>
    </w:p>
    <w:p w:rsidR="000B3C73" w:rsidRPr="00AD165E" w:rsidRDefault="000B3C73" w:rsidP="000B3C73">
      <w:pPr>
        <w:ind w:left="60"/>
        <w:jc w:val="both"/>
        <w:rPr>
          <w:rFonts w:ascii="Avenir-Book" w:hAnsi="Avenir-Book" w:cs="Arial"/>
          <w:sz w:val="22"/>
          <w:szCs w:val="22"/>
        </w:rPr>
      </w:pPr>
      <w:r w:rsidRPr="00AD165E">
        <w:rPr>
          <w:rFonts w:ascii="Avenir-Book" w:hAnsi="Avenir-Book" w:cs="Arial"/>
          <w:sz w:val="22"/>
          <w:szCs w:val="22"/>
        </w:rPr>
        <w:t>Asimismo</w:t>
      </w:r>
      <w:r w:rsidR="00AD165E">
        <w:rPr>
          <w:rFonts w:ascii="Avenir-Book" w:hAnsi="Avenir-Book" w:cs="Arial"/>
          <w:sz w:val="22"/>
          <w:szCs w:val="22"/>
        </w:rPr>
        <w:t>,</w:t>
      </w:r>
      <w:r w:rsidRPr="00AD165E">
        <w:rPr>
          <w:rFonts w:ascii="Avenir-Book" w:hAnsi="Avenir-Book" w:cs="Arial"/>
          <w:sz w:val="22"/>
          <w:szCs w:val="22"/>
        </w:rPr>
        <w:t xml:space="preserve"> en el Presupuesto de Egresos, se prevén </w:t>
      </w:r>
      <w:r w:rsidRPr="00AD165E">
        <w:rPr>
          <w:rFonts w:ascii="Avenir-Book" w:hAnsi="Avenir-Book" w:cs="Arial"/>
          <w:b/>
          <w:sz w:val="22"/>
          <w:szCs w:val="22"/>
        </w:rPr>
        <w:t xml:space="preserve">erogaciones para </w:t>
      </w:r>
      <w:r w:rsidR="006B571D" w:rsidRPr="00AD165E">
        <w:rPr>
          <w:rFonts w:ascii="Avenir-Book" w:hAnsi="Avenir-Book" w:cs="Arial"/>
          <w:b/>
          <w:sz w:val="22"/>
          <w:szCs w:val="22"/>
        </w:rPr>
        <w:t>Organismos Públicos Descentralizado</w:t>
      </w:r>
      <w:r w:rsidRPr="00AD165E">
        <w:rPr>
          <w:rFonts w:ascii="Avenir-Book" w:hAnsi="Avenir-Book" w:cs="Arial"/>
          <w:b/>
          <w:sz w:val="22"/>
          <w:szCs w:val="22"/>
        </w:rPr>
        <w:t>s</w:t>
      </w:r>
      <w:r w:rsidRPr="00AD165E">
        <w:rPr>
          <w:rFonts w:ascii="Avenir-Book" w:hAnsi="Avenir-Book" w:cs="Arial"/>
          <w:sz w:val="22"/>
          <w:szCs w:val="22"/>
        </w:rPr>
        <w:t>, c</w:t>
      </w:r>
      <w:r w:rsidR="006B571D" w:rsidRPr="00AD165E">
        <w:rPr>
          <w:rFonts w:ascii="Avenir-Book" w:hAnsi="Avenir-Book" w:cs="Arial"/>
          <w:sz w:val="22"/>
          <w:szCs w:val="22"/>
        </w:rPr>
        <w:t>ifras que para el ejercicio 2019</w:t>
      </w:r>
      <w:r w:rsidRPr="00AD165E">
        <w:rPr>
          <w:rFonts w:ascii="Avenir-Book" w:hAnsi="Avenir-Book" w:cs="Arial"/>
          <w:sz w:val="22"/>
          <w:szCs w:val="22"/>
        </w:rPr>
        <w:t xml:space="preserve"> se presentan en el </w:t>
      </w:r>
      <w:r w:rsidR="00471297" w:rsidRPr="00AD165E">
        <w:rPr>
          <w:rFonts w:ascii="Avenir-Book" w:hAnsi="Avenir-Book" w:cs="Arial"/>
          <w:b/>
          <w:sz w:val="22"/>
          <w:szCs w:val="22"/>
        </w:rPr>
        <w:t>C</w:t>
      </w:r>
      <w:r w:rsidRPr="00AD165E">
        <w:rPr>
          <w:rFonts w:ascii="Avenir-Book" w:hAnsi="Avenir-Book" w:cs="Arial"/>
          <w:b/>
          <w:i/>
          <w:sz w:val="22"/>
          <w:szCs w:val="22"/>
        </w:rPr>
        <w:t xml:space="preserve">uadro 7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con base en la Clasificación por Objeto del Gasto a nivel capítulo.</w:t>
      </w:r>
    </w:p>
    <w:p w:rsidR="000B3C73" w:rsidRPr="00AD165E" w:rsidRDefault="000B3C73" w:rsidP="000B3C73">
      <w:pPr>
        <w:autoSpaceDE w:val="0"/>
        <w:autoSpaceDN w:val="0"/>
        <w:adjustRightInd w:val="0"/>
        <w:ind w:left="60"/>
        <w:jc w:val="both"/>
        <w:rPr>
          <w:rFonts w:ascii="Avenir-Book" w:hAnsi="Avenir-Book" w:cs="Arial"/>
          <w:sz w:val="22"/>
          <w:szCs w:val="22"/>
        </w:rPr>
      </w:pPr>
    </w:p>
    <w:p w:rsidR="000B3C73" w:rsidRPr="00AD165E" w:rsidRDefault="000B3C73" w:rsidP="003F6B6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lang w:eastAsia="es-MX"/>
        </w:rPr>
        <w:t xml:space="preserve">Clasificación Administrativa, </w:t>
      </w:r>
      <w:r w:rsidRPr="00AD165E">
        <w:rPr>
          <w:rFonts w:ascii="Avenir-Book" w:hAnsi="Avenir-Book" w:cs="Arial"/>
        </w:rPr>
        <w:t xml:space="preserve">desglosa la estructura organizativa del Municipio de Puebla. A nivel analítico, se circunscribe absolutamente en lo establecido por la Ley General de Contabilidad Gubernamental, en lo que respecta a la identificación de las unidades administrativas y a la información que éstas deben generar, por </w:t>
      </w:r>
      <w:r w:rsidRPr="00AD165E">
        <w:rPr>
          <w:rFonts w:ascii="Avenir-Book" w:hAnsi="Avenir-Book" w:cs="Arial"/>
          <w:lang w:eastAsia="es-MX"/>
        </w:rPr>
        <w:t xml:space="preserve">la asignación, gestión y rendición de cuentas de los recursos financieros públicos; dicha clasificación se muestra en el </w:t>
      </w:r>
      <w:r w:rsidRPr="00AD165E">
        <w:rPr>
          <w:rFonts w:ascii="Avenir-Book" w:hAnsi="Avenir-Book" w:cs="Arial"/>
          <w:b/>
        </w:rPr>
        <w:t>C</w:t>
      </w:r>
      <w:r w:rsidRPr="00AD165E">
        <w:rPr>
          <w:rFonts w:ascii="Avenir-Book" w:hAnsi="Avenir-Book" w:cs="Arial"/>
          <w:b/>
          <w:i/>
        </w:rPr>
        <w:t xml:space="preserve">uadro 8 del </w:t>
      </w:r>
      <w:r w:rsidR="00941DC9" w:rsidRPr="00AD165E">
        <w:rPr>
          <w:rFonts w:ascii="Avenir-Book" w:hAnsi="Avenir-Book" w:cs="Arial"/>
          <w:b/>
          <w:i/>
        </w:rPr>
        <w:t>Anexo 1</w:t>
      </w:r>
      <w:r w:rsidRPr="00AD165E">
        <w:rPr>
          <w:rFonts w:ascii="Avenir-Book" w:hAnsi="Avenir-Book" w:cs="Arial"/>
          <w:b/>
          <w:i/>
        </w:rPr>
        <w:t xml:space="preserve"> del Presupuesto de Egresos, </w:t>
      </w:r>
      <w:r w:rsidRPr="00AD165E">
        <w:rPr>
          <w:rFonts w:ascii="Avenir-Book" w:hAnsi="Avenir-Book" w:cs="Arial"/>
        </w:rPr>
        <w:t xml:space="preserve">así como un resumen en el </w:t>
      </w:r>
      <w:r w:rsidRPr="00AD165E">
        <w:rPr>
          <w:rFonts w:ascii="Avenir-Book" w:hAnsi="Avenir-Book" w:cs="Arial"/>
          <w:b/>
          <w:i/>
        </w:rPr>
        <w:t>Cuadro 9</w:t>
      </w:r>
      <w:r w:rsidRPr="00AD165E">
        <w:rPr>
          <w:rFonts w:ascii="Avenir-Book" w:hAnsi="Avenir-Book" w:cs="Arial"/>
        </w:rPr>
        <w:t>.</w:t>
      </w:r>
    </w:p>
    <w:p w:rsidR="000B3C73" w:rsidRPr="00AD165E" w:rsidRDefault="000B3C73" w:rsidP="00DE475C">
      <w:pPr>
        <w:autoSpaceDE w:val="0"/>
        <w:autoSpaceDN w:val="0"/>
        <w:adjustRightInd w:val="0"/>
        <w:jc w:val="both"/>
        <w:rPr>
          <w:rFonts w:ascii="Avenir-Book" w:hAnsi="Avenir-Book" w:cs="Arial"/>
          <w:sz w:val="22"/>
          <w:szCs w:val="22"/>
          <w:lang w:val="es-MX"/>
        </w:rPr>
      </w:pPr>
    </w:p>
    <w:p w:rsidR="000B3C73" w:rsidRPr="00AD165E" w:rsidRDefault="000B3C73" w:rsidP="0094029A">
      <w:pPr>
        <w:pStyle w:val="Prrafodelista"/>
        <w:numPr>
          <w:ilvl w:val="0"/>
          <w:numId w:val="13"/>
        </w:numPr>
        <w:spacing w:after="0"/>
        <w:jc w:val="both"/>
        <w:rPr>
          <w:rFonts w:ascii="Avenir-Book" w:hAnsi="Avenir-Book" w:cs="Arial"/>
        </w:rPr>
      </w:pPr>
      <w:r w:rsidRPr="00AD165E">
        <w:rPr>
          <w:rFonts w:ascii="Avenir-Book" w:hAnsi="Avenir-Book" w:cs="Arial"/>
          <w:b/>
          <w:lang w:eastAsia="es-MX"/>
        </w:rPr>
        <w:t xml:space="preserve">Clasificación Funcional, </w:t>
      </w:r>
      <w:r w:rsidRPr="00AD165E">
        <w:rPr>
          <w:rFonts w:ascii="Avenir-Book" w:hAnsi="Avenir-Book" w:cs="Arial"/>
          <w:lang w:eastAsia="es-MX"/>
        </w:rPr>
        <w:t>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esta clasificación</w:t>
      </w:r>
      <w:r w:rsidRPr="00AD165E">
        <w:rPr>
          <w:rFonts w:ascii="Avenir-Book" w:hAnsi="Avenir-Book" w:cs="Arial"/>
        </w:rPr>
        <w:t xml:space="preserve"> se compone de la información que se muestra en el </w:t>
      </w:r>
      <w:r w:rsidRPr="00AD165E">
        <w:rPr>
          <w:rFonts w:ascii="Avenir-Book" w:hAnsi="Avenir-Book" w:cs="Arial"/>
          <w:b/>
          <w:i/>
        </w:rPr>
        <w:t xml:space="preserve">Cuadro 10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58293B" w:rsidRPr="00AD165E" w:rsidRDefault="0058293B" w:rsidP="003A16E7">
      <w:pPr>
        <w:jc w:val="both"/>
        <w:rPr>
          <w:rFonts w:ascii="Avenir-Book" w:hAnsi="Avenir-Book" w:cs="Arial"/>
          <w:sz w:val="22"/>
          <w:szCs w:val="22"/>
        </w:rPr>
      </w:pPr>
    </w:p>
    <w:p w:rsidR="000B3C73" w:rsidRPr="00AD165E" w:rsidRDefault="000B3C73" w:rsidP="00471297">
      <w:pPr>
        <w:pStyle w:val="Prrafodelista"/>
        <w:numPr>
          <w:ilvl w:val="0"/>
          <w:numId w:val="13"/>
        </w:numPr>
        <w:spacing w:after="0"/>
        <w:jc w:val="both"/>
        <w:rPr>
          <w:rFonts w:ascii="Avenir-Book" w:hAnsi="Avenir-Book" w:cs="Arial"/>
        </w:rPr>
      </w:pPr>
      <w:r w:rsidRPr="00AD165E">
        <w:rPr>
          <w:rFonts w:ascii="Avenir-Book" w:hAnsi="Avenir-Book" w:cs="Arial"/>
          <w:b/>
        </w:rPr>
        <w:t>Clasificación Programática,</w:t>
      </w:r>
      <w:r w:rsidRPr="00AD165E">
        <w:rPr>
          <w:rFonts w:ascii="Avenir-Book" w:hAnsi="Avenir-Book" w:cs="Arial"/>
        </w:rPr>
        <w:t xml:space="preserve"> muestra los programas presupuestarios conforme a la Clasificación emitida por el Consejo de Armonización Contable. El Presupuesto de Egresos 201</w:t>
      </w:r>
      <w:r w:rsidR="008F391F" w:rsidRPr="00AD165E">
        <w:rPr>
          <w:rFonts w:ascii="Avenir-Book" w:hAnsi="Avenir-Book" w:cs="Arial"/>
        </w:rPr>
        <w:t>9</w:t>
      </w:r>
      <w:r w:rsidRPr="00AD165E">
        <w:rPr>
          <w:rFonts w:ascii="Avenir-Book" w:hAnsi="Avenir-Book" w:cs="Arial"/>
        </w:rPr>
        <w:t xml:space="preserve">, con base en ésta, se distribuye como se presenta en el </w:t>
      </w:r>
      <w:r w:rsidRPr="00AD165E">
        <w:rPr>
          <w:rFonts w:ascii="Avenir-Book" w:hAnsi="Avenir-Book" w:cs="Arial"/>
          <w:b/>
          <w:i/>
        </w:rPr>
        <w:t xml:space="preserve">Cuadro 11 del </w:t>
      </w:r>
      <w:r w:rsidR="00941DC9" w:rsidRPr="00AD165E">
        <w:rPr>
          <w:rFonts w:ascii="Avenir-Book" w:hAnsi="Avenir-Book" w:cs="Arial"/>
          <w:b/>
          <w:i/>
        </w:rPr>
        <w:t>Anexo 1</w:t>
      </w:r>
      <w:r w:rsidRPr="00AD165E">
        <w:rPr>
          <w:rFonts w:ascii="Avenir-Book" w:hAnsi="Avenir-Book" w:cs="Arial"/>
          <w:b/>
          <w:i/>
        </w:rPr>
        <w:t xml:space="preserve"> del Presupuesto de Egresos </w:t>
      </w:r>
      <w:r w:rsidRPr="00AD165E">
        <w:rPr>
          <w:rFonts w:ascii="Avenir-Book" w:hAnsi="Avenir-Book" w:cs="Arial"/>
        </w:rPr>
        <w:t xml:space="preserve">y está vinculada a las dependencias municipales en el </w:t>
      </w:r>
      <w:r w:rsidRPr="00AD165E">
        <w:rPr>
          <w:rFonts w:ascii="Avenir-Book" w:hAnsi="Avenir-Book" w:cs="Arial"/>
          <w:b/>
          <w:i/>
        </w:rPr>
        <w:t>Cuadro 12 y Gráfica 3.</w:t>
      </w:r>
    </w:p>
    <w:p w:rsidR="000B3C73" w:rsidRPr="00AD165E" w:rsidRDefault="000B3C73" w:rsidP="000B3C73">
      <w:pPr>
        <w:ind w:left="6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i/>
          <w:sz w:val="22"/>
          <w:szCs w:val="22"/>
        </w:rPr>
      </w:pPr>
      <w:r w:rsidRPr="00AD165E">
        <w:rPr>
          <w:rFonts w:ascii="Avenir-Book" w:hAnsi="Avenir-Book" w:cs="Arial"/>
          <w:sz w:val="22"/>
          <w:szCs w:val="22"/>
        </w:rPr>
        <w:t>Adicionalmente la Clasificación Programática</w:t>
      </w:r>
      <w:r w:rsidR="004837E5" w:rsidRPr="00AD165E">
        <w:rPr>
          <w:rFonts w:ascii="Avenir-Book" w:hAnsi="Avenir-Book" w:cs="Arial"/>
          <w:sz w:val="22"/>
          <w:szCs w:val="22"/>
        </w:rPr>
        <w:t xml:space="preserve"> del Presupuesto de Egresos 2019</w:t>
      </w:r>
      <w:r w:rsidRPr="00AD165E">
        <w:rPr>
          <w:rFonts w:ascii="Avenir-Book" w:hAnsi="Avenir-Book" w:cs="Arial"/>
          <w:sz w:val="22"/>
          <w:szCs w:val="22"/>
        </w:rPr>
        <w:t xml:space="preserve">, está ligada a los programas de la Auditoría Superior del Estado de Puebla, los cuales se presentan en el </w:t>
      </w:r>
      <w:r w:rsidRPr="00AD165E">
        <w:rPr>
          <w:rFonts w:ascii="Avenir-Book" w:hAnsi="Avenir-Book" w:cs="Arial"/>
          <w:b/>
          <w:i/>
          <w:sz w:val="22"/>
          <w:szCs w:val="22"/>
        </w:rPr>
        <w:t xml:space="preserve">Cuadro 13 y Gráfica 4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EB3504" w:rsidRPr="00AD165E" w:rsidRDefault="00EB3504" w:rsidP="000B3C73">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LAS ASIGNACIONES DEL PRESUPUESTO DE EGRESOS</w:t>
      </w:r>
    </w:p>
    <w:p w:rsidR="000B3C73" w:rsidRPr="00AD165E" w:rsidRDefault="000B3C73" w:rsidP="000B3C73">
      <w:pPr>
        <w:pStyle w:val="Default"/>
        <w:tabs>
          <w:tab w:val="left" w:pos="284"/>
        </w:tabs>
        <w:spacing w:line="276" w:lineRule="auto"/>
        <w:jc w:val="both"/>
        <w:rPr>
          <w:rFonts w:ascii="Avenir-Book" w:hAnsi="Avenir-Book" w:cs="Arial"/>
          <w:b/>
          <w:color w:val="auto"/>
          <w:sz w:val="22"/>
          <w:szCs w:val="22"/>
        </w:rPr>
      </w:pPr>
    </w:p>
    <w:p w:rsidR="000B3C73" w:rsidRPr="00AD165E" w:rsidRDefault="008E0E6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10</w:t>
      </w:r>
      <w:r w:rsidR="000B3C73" w:rsidRPr="00AD165E">
        <w:rPr>
          <w:rFonts w:ascii="Avenir-Book" w:hAnsi="Avenir-Book" w:cs="Arial"/>
          <w:b/>
          <w:sz w:val="22"/>
          <w:szCs w:val="22"/>
        </w:rPr>
        <w:t xml:space="preserve">.- </w:t>
      </w:r>
      <w:r w:rsidR="000B3C73" w:rsidRPr="00AD165E">
        <w:rPr>
          <w:rFonts w:ascii="Avenir-Book" w:hAnsi="Avenir-Book" w:cs="Arial"/>
          <w:sz w:val="22"/>
          <w:szCs w:val="22"/>
        </w:rPr>
        <w:t>Con fundamento en el artículo 66, de la Ley General de Contabilidad Gubernamental; 18, fracción I segundo párrafo, 61, 62 y 65, de la Ley de Disciplina Financiera de las Entidades Federativas y los Municipios, el Honorable Ayuntamiento del Municipio de Pue</w:t>
      </w:r>
      <w:r w:rsidR="0005389C" w:rsidRPr="00AD165E">
        <w:rPr>
          <w:rFonts w:ascii="Avenir-Book" w:hAnsi="Avenir-Book" w:cs="Arial"/>
          <w:sz w:val="22"/>
          <w:szCs w:val="22"/>
        </w:rPr>
        <w:t xml:space="preserve">bla </w:t>
      </w:r>
      <w:r w:rsidR="000B3C73" w:rsidRPr="00AD165E">
        <w:rPr>
          <w:rFonts w:ascii="Avenir-Book" w:hAnsi="Avenir-Book" w:cs="Arial"/>
          <w:sz w:val="22"/>
          <w:szCs w:val="22"/>
        </w:rPr>
        <w:t xml:space="preserve">establece el calendario del Presupuesto de Egresos para el ejercicio 2019, </w:t>
      </w:r>
      <w:r w:rsidR="0005389C" w:rsidRPr="00AD165E">
        <w:rPr>
          <w:rFonts w:ascii="Avenir-Book" w:hAnsi="Avenir-Book" w:cs="Arial"/>
          <w:sz w:val="22"/>
          <w:szCs w:val="22"/>
        </w:rPr>
        <w:t>y con el objeto de eliminar la opacidad en el ejercicio del gasto presupuestal,</w:t>
      </w:r>
      <w:r w:rsidR="00E80013" w:rsidRPr="00AD165E">
        <w:rPr>
          <w:rFonts w:ascii="Avenir-Book" w:hAnsi="Avenir-Book" w:cs="Arial"/>
          <w:sz w:val="22"/>
          <w:szCs w:val="22"/>
        </w:rPr>
        <w:t xml:space="preserve"> </w:t>
      </w:r>
      <w:r w:rsidR="000B3C73" w:rsidRPr="00AD165E">
        <w:rPr>
          <w:rFonts w:ascii="Avenir-Book" w:hAnsi="Avenir-Book" w:cs="Arial"/>
          <w:sz w:val="22"/>
          <w:szCs w:val="22"/>
        </w:rPr>
        <w:t xml:space="preserve">de acuerdo con la información detallada en el </w:t>
      </w:r>
      <w:r w:rsidR="000B3C73" w:rsidRPr="00AD165E">
        <w:rPr>
          <w:rFonts w:ascii="Avenir-Book" w:hAnsi="Avenir-Book" w:cs="Arial"/>
          <w:b/>
          <w:sz w:val="22"/>
          <w:szCs w:val="22"/>
        </w:rPr>
        <w:t>C</w:t>
      </w:r>
      <w:r w:rsidR="000B3C73" w:rsidRPr="00AD165E">
        <w:rPr>
          <w:rFonts w:ascii="Avenir-Book" w:hAnsi="Avenir-Book" w:cs="Arial"/>
          <w:b/>
          <w:i/>
          <w:sz w:val="22"/>
          <w:szCs w:val="22"/>
        </w:rPr>
        <w:t xml:space="preserve">uadro 14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rPr>
        <w:t>.</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rPr>
      </w:pPr>
    </w:p>
    <w:p w:rsidR="008239A3" w:rsidRPr="00AD165E" w:rsidRDefault="008E0E63" w:rsidP="000B3C73">
      <w:pPr>
        <w:pStyle w:val="Default"/>
        <w:tabs>
          <w:tab w:val="left" w:pos="284"/>
        </w:tabs>
        <w:spacing w:line="276" w:lineRule="auto"/>
        <w:jc w:val="both"/>
        <w:rPr>
          <w:rFonts w:ascii="Avenir-Book" w:hAnsi="Avenir-Book" w:cs="Arial"/>
          <w:color w:val="auto"/>
          <w:sz w:val="22"/>
          <w:szCs w:val="22"/>
          <w:lang w:val="es-MX"/>
        </w:rPr>
      </w:pPr>
      <w:r w:rsidRPr="00AD165E">
        <w:rPr>
          <w:rFonts w:ascii="Avenir-Book" w:hAnsi="Avenir-Book" w:cs="Arial"/>
          <w:b/>
          <w:color w:val="auto"/>
          <w:sz w:val="22"/>
          <w:szCs w:val="22"/>
        </w:rPr>
        <w:t>Artículo 11</w:t>
      </w:r>
      <w:r w:rsidR="000B3C73" w:rsidRPr="00AD165E">
        <w:rPr>
          <w:rFonts w:ascii="Avenir-Book" w:hAnsi="Avenir-Book" w:cs="Arial"/>
          <w:b/>
          <w:color w:val="auto"/>
          <w:sz w:val="22"/>
          <w:szCs w:val="22"/>
        </w:rPr>
        <w:t>.-</w:t>
      </w:r>
      <w:r w:rsidR="000B3C73" w:rsidRPr="00AD165E">
        <w:rPr>
          <w:rFonts w:ascii="Avenir-Book" w:hAnsi="Avenir-Book" w:cs="Arial"/>
          <w:color w:val="auto"/>
          <w:sz w:val="22"/>
          <w:szCs w:val="22"/>
        </w:rPr>
        <w:t xml:space="preserve">Con el fin de demostrar el cumplimiento al </w:t>
      </w:r>
      <w:r w:rsidR="000B3C73" w:rsidRPr="00AD165E">
        <w:rPr>
          <w:rFonts w:ascii="Avenir-Book" w:hAnsi="Avenir-Book" w:cs="Arial"/>
          <w:color w:val="auto"/>
          <w:sz w:val="22"/>
          <w:szCs w:val="22"/>
          <w:lang w:val="es-MX"/>
        </w:rPr>
        <w:t>Catálogo de Criterios de Evaluación para la Elaboración del índice de Información Pr</w:t>
      </w:r>
      <w:r w:rsidR="003919E2" w:rsidRPr="00AD165E">
        <w:rPr>
          <w:rFonts w:ascii="Avenir-Book" w:hAnsi="Avenir-Book" w:cs="Arial"/>
          <w:color w:val="auto"/>
          <w:sz w:val="22"/>
          <w:szCs w:val="22"/>
          <w:lang w:val="es-MX"/>
        </w:rPr>
        <w:t>esupuestal Municipal (IIPM) 2017</w:t>
      </w:r>
      <w:r w:rsidR="000B3C73" w:rsidRPr="00AD165E">
        <w:rPr>
          <w:rFonts w:ascii="Avenir-Book" w:hAnsi="Avenir-Book" w:cs="Arial"/>
          <w:color w:val="auto"/>
          <w:sz w:val="22"/>
          <w:szCs w:val="22"/>
          <w:lang w:val="es-MX"/>
        </w:rPr>
        <w:t>, emitidos por el Instituto Mexicano para la Competitividad, A.C., se describen los conceptos de gasto que serán evaluados conforme la elaboración del Presupuesto de Egresos de Municipio de Puebla.</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lang w:val="es-MX"/>
        </w:rPr>
      </w:pPr>
    </w:p>
    <w:p w:rsidR="000B3C73" w:rsidRPr="00AD165E" w:rsidRDefault="000B3C73" w:rsidP="0094029A">
      <w:pPr>
        <w:pStyle w:val="Default"/>
        <w:numPr>
          <w:ilvl w:val="0"/>
          <w:numId w:val="14"/>
        </w:numPr>
        <w:tabs>
          <w:tab w:val="left" w:pos="284"/>
        </w:tabs>
        <w:spacing w:line="276" w:lineRule="auto"/>
        <w:jc w:val="both"/>
        <w:rPr>
          <w:rFonts w:ascii="Avenir-Book" w:hAnsi="Avenir-Book" w:cs="Arial"/>
          <w:color w:val="auto"/>
          <w:sz w:val="22"/>
          <w:szCs w:val="22"/>
        </w:rPr>
      </w:pPr>
      <w:r w:rsidRPr="00AD165E">
        <w:rPr>
          <w:rFonts w:ascii="Avenir-Book" w:hAnsi="Avenir-Book" w:cs="Arial"/>
          <w:color w:val="auto"/>
          <w:sz w:val="22"/>
          <w:szCs w:val="22"/>
        </w:rPr>
        <w:t xml:space="preserve">Los recursos destinados a las autoridades que apoyan al municipio en la prestación de servicios, gestiones de representación y ejecución de otro tipo de funciones adicionales a la administración pública centralizada, es por </w:t>
      </w:r>
      <w:r w:rsidR="003919E2" w:rsidRPr="00AD165E">
        <w:rPr>
          <w:rFonts w:ascii="Avenir-Book" w:hAnsi="Avenir-Book" w:cs="Arial"/>
          <w:b/>
          <w:color w:val="auto"/>
          <w:sz w:val="22"/>
          <w:szCs w:val="22"/>
        </w:rPr>
        <w:t>$26’510</w:t>
      </w:r>
      <w:r w:rsidRPr="00AD165E">
        <w:rPr>
          <w:rFonts w:ascii="Avenir-Book" w:hAnsi="Avenir-Book" w:cs="Arial"/>
          <w:b/>
          <w:color w:val="auto"/>
          <w:sz w:val="22"/>
          <w:szCs w:val="22"/>
        </w:rPr>
        <w:t xml:space="preserve">,000.00, </w:t>
      </w:r>
      <w:r w:rsidRPr="00AD165E">
        <w:rPr>
          <w:rFonts w:ascii="Avenir-Book" w:hAnsi="Avenir-Book" w:cs="Arial"/>
          <w:color w:val="auto"/>
          <w:sz w:val="22"/>
          <w:szCs w:val="22"/>
        </w:rPr>
        <w:t xml:space="preserve">éstas transferencias para </w:t>
      </w:r>
      <w:r w:rsidRPr="00AD165E">
        <w:rPr>
          <w:rFonts w:ascii="Avenir-Book" w:hAnsi="Avenir-Book" w:cs="Arial"/>
          <w:b/>
          <w:color w:val="auto"/>
          <w:sz w:val="22"/>
          <w:szCs w:val="22"/>
        </w:rPr>
        <w:t xml:space="preserve">Autoridades de las Juntas Auxiliares Municipales, </w:t>
      </w:r>
      <w:r w:rsidRPr="00AD165E">
        <w:rPr>
          <w:rFonts w:ascii="Avenir-Book" w:hAnsi="Avenir-Book" w:cs="Arial"/>
          <w:color w:val="auto"/>
          <w:sz w:val="22"/>
          <w:szCs w:val="22"/>
        </w:rPr>
        <w:t xml:space="preserve">se desglosan en el </w:t>
      </w:r>
      <w:r w:rsidRPr="00AD165E">
        <w:rPr>
          <w:rFonts w:ascii="Avenir-Book" w:hAnsi="Avenir-Book" w:cs="Arial"/>
          <w:b/>
          <w:color w:val="auto"/>
          <w:sz w:val="22"/>
          <w:szCs w:val="22"/>
        </w:rPr>
        <w:t>C</w:t>
      </w:r>
      <w:r w:rsidRPr="00AD165E">
        <w:rPr>
          <w:rFonts w:ascii="Avenir-Book" w:hAnsi="Avenir-Book" w:cs="Arial"/>
          <w:b/>
          <w:i/>
          <w:color w:val="auto"/>
          <w:sz w:val="22"/>
          <w:szCs w:val="22"/>
        </w:rPr>
        <w:t xml:space="preserve">uadro 15 del </w:t>
      </w:r>
      <w:r w:rsidR="00941DC9" w:rsidRPr="00AD165E">
        <w:rPr>
          <w:rFonts w:ascii="Avenir-Book" w:hAnsi="Avenir-Book" w:cs="Arial"/>
          <w:b/>
          <w:i/>
          <w:color w:val="auto"/>
          <w:sz w:val="22"/>
          <w:szCs w:val="22"/>
        </w:rPr>
        <w:t xml:space="preserve"> Anexo 1 </w:t>
      </w:r>
      <w:r w:rsidRPr="00AD165E">
        <w:rPr>
          <w:rFonts w:ascii="Avenir-Book" w:hAnsi="Avenir-Book" w:cs="Arial"/>
          <w:b/>
          <w:i/>
          <w:color w:val="auto"/>
          <w:sz w:val="22"/>
          <w:szCs w:val="22"/>
        </w:rPr>
        <w:t>del Presupuesto de Egresos</w:t>
      </w:r>
      <w:r w:rsidRPr="00AD165E">
        <w:rPr>
          <w:rFonts w:ascii="Avenir-Book" w:hAnsi="Avenir-Book" w:cs="Arial"/>
          <w:color w:val="auto"/>
          <w:sz w:val="22"/>
          <w:szCs w:val="22"/>
        </w:rPr>
        <w:t>.</w:t>
      </w:r>
    </w:p>
    <w:p w:rsidR="000B3C73" w:rsidRPr="00AD165E" w:rsidRDefault="000B3C73" w:rsidP="000B3C73">
      <w:pPr>
        <w:pStyle w:val="Default"/>
        <w:tabs>
          <w:tab w:val="left" w:pos="284"/>
        </w:tabs>
        <w:spacing w:line="276" w:lineRule="auto"/>
        <w:ind w:left="720"/>
        <w:jc w:val="both"/>
        <w:rPr>
          <w:rFonts w:ascii="Avenir-Book" w:hAnsi="Avenir-Book" w:cs="Arial"/>
          <w:color w:val="auto"/>
          <w:sz w:val="22"/>
          <w:szCs w:val="22"/>
        </w:rPr>
      </w:pPr>
    </w:p>
    <w:p w:rsidR="000B3C73" w:rsidRPr="00AD165E" w:rsidRDefault="000B3C73" w:rsidP="0094029A">
      <w:pPr>
        <w:pStyle w:val="Default"/>
        <w:numPr>
          <w:ilvl w:val="0"/>
          <w:numId w:val="14"/>
        </w:numPr>
        <w:tabs>
          <w:tab w:val="left" w:pos="284"/>
        </w:tabs>
        <w:spacing w:line="276" w:lineRule="auto"/>
        <w:jc w:val="both"/>
        <w:rPr>
          <w:rFonts w:ascii="Avenir-Book" w:hAnsi="Avenir-Book" w:cs="Arial"/>
          <w:color w:val="auto"/>
          <w:sz w:val="22"/>
          <w:szCs w:val="22"/>
        </w:rPr>
      </w:pPr>
      <w:r w:rsidRPr="00AD165E">
        <w:rPr>
          <w:rFonts w:ascii="Avenir-Book" w:hAnsi="Avenir-Book" w:cs="Arial"/>
          <w:color w:val="auto"/>
          <w:sz w:val="22"/>
          <w:szCs w:val="22"/>
        </w:rPr>
        <w:t xml:space="preserve">El </w:t>
      </w:r>
      <w:r w:rsidRPr="00AD165E">
        <w:rPr>
          <w:rFonts w:ascii="Avenir-Book" w:hAnsi="Avenir-Book" w:cs="Arial"/>
          <w:b/>
          <w:color w:val="auto"/>
          <w:sz w:val="22"/>
          <w:szCs w:val="22"/>
        </w:rPr>
        <w:t xml:space="preserve">Gasto de comunicación social </w:t>
      </w:r>
      <w:r w:rsidRPr="00AD165E">
        <w:rPr>
          <w:rFonts w:ascii="Avenir-Book" w:hAnsi="Avenir-Book" w:cs="Arial"/>
          <w:color w:val="auto"/>
          <w:sz w:val="22"/>
          <w:szCs w:val="22"/>
        </w:rPr>
        <w:t>tiene asignado un monto de</w:t>
      </w:r>
      <w:r w:rsidR="00941DC9" w:rsidRPr="00AD165E">
        <w:rPr>
          <w:rFonts w:ascii="Avenir-Book" w:hAnsi="Avenir-Book" w:cs="Arial"/>
          <w:b/>
          <w:color w:val="auto"/>
          <w:sz w:val="22"/>
          <w:szCs w:val="22"/>
        </w:rPr>
        <w:t>$37’041,984.00</w:t>
      </w:r>
      <w:r w:rsidRPr="00AD165E">
        <w:rPr>
          <w:rFonts w:ascii="Avenir-Book" w:hAnsi="Avenir-Book" w:cs="Arial"/>
          <w:color w:val="auto"/>
          <w:sz w:val="22"/>
          <w:szCs w:val="22"/>
        </w:rPr>
        <w:t xml:space="preserve">, mismo que se desglosa en el rubro 3600 Servicios de Comunicación Social y Publicidad, como se muestra en el </w:t>
      </w:r>
      <w:r w:rsidRPr="00AD165E">
        <w:rPr>
          <w:rFonts w:ascii="Avenir-Book" w:hAnsi="Avenir-Book" w:cs="Arial"/>
          <w:b/>
          <w:color w:val="auto"/>
          <w:sz w:val="22"/>
          <w:szCs w:val="22"/>
        </w:rPr>
        <w:t>C</w:t>
      </w:r>
      <w:r w:rsidRPr="00AD165E">
        <w:rPr>
          <w:rFonts w:ascii="Avenir-Book" w:hAnsi="Avenir-Book" w:cs="Arial"/>
          <w:b/>
          <w:i/>
          <w:color w:val="auto"/>
          <w:sz w:val="22"/>
          <w:szCs w:val="22"/>
        </w:rPr>
        <w:t xml:space="preserve">uadro 16 del </w:t>
      </w:r>
      <w:r w:rsidR="00941DC9" w:rsidRPr="00AD165E">
        <w:rPr>
          <w:rFonts w:ascii="Avenir-Book" w:hAnsi="Avenir-Book" w:cs="Arial"/>
          <w:b/>
          <w:i/>
          <w:color w:val="auto"/>
          <w:sz w:val="22"/>
          <w:szCs w:val="22"/>
        </w:rPr>
        <w:t>Anexo 1</w:t>
      </w:r>
      <w:r w:rsidRPr="00AD165E">
        <w:rPr>
          <w:rFonts w:ascii="Avenir-Book" w:hAnsi="Avenir-Book" w:cs="Arial"/>
          <w:b/>
          <w:i/>
          <w:color w:val="auto"/>
          <w:sz w:val="22"/>
          <w:szCs w:val="22"/>
        </w:rPr>
        <w:t xml:space="preserve"> del Presupuesto de Egresos</w:t>
      </w:r>
      <w:r w:rsidRPr="00AD165E">
        <w:rPr>
          <w:rFonts w:ascii="Avenir-Book" w:hAnsi="Avenir-Book" w:cs="Arial"/>
          <w:color w:val="auto"/>
          <w:sz w:val="22"/>
          <w:szCs w:val="22"/>
        </w:rPr>
        <w:t>.</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rPr>
      </w:pPr>
    </w:p>
    <w:p w:rsidR="00941DC9" w:rsidRPr="00AD165E" w:rsidRDefault="000B3C73" w:rsidP="00E80013">
      <w:pPr>
        <w:pStyle w:val="Prrafodelista"/>
        <w:numPr>
          <w:ilvl w:val="0"/>
          <w:numId w:val="14"/>
        </w:numPr>
        <w:tabs>
          <w:tab w:val="left" w:pos="284"/>
        </w:tabs>
        <w:autoSpaceDE w:val="0"/>
        <w:autoSpaceDN w:val="0"/>
        <w:adjustRightInd w:val="0"/>
        <w:spacing w:after="0"/>
        <w:jc w:val="both"/>
        <w:rPr>
          <w:rFonts w:ascii="Avenir-Book" w:hAnsi="Avenir-Book" w:cs="Arial"/>
        </w:rPr>
      </w:pPr>
      <w:r w:rsidRPr="00AD165E">
        <w:rPr>
          <w:rFonts w:ascii="Avenir-Book" w:hAnsi="Avenir-Book" w:cs="Arial"/>
          <w:lang w:val="es-ES"/>
        </w:rPr>
        <w:t xml:space="preserve">El </w:t>
      </w:r>
      <w:r w:rsidRPr="00AD165E">
        <w:rPr>
          <w:rFonts w:ascii="Avenir-Book" w:hAnsi="Avenir-Book" w:cs="Arial"/>
          <w:b/>
          <w:lang w:eastAsia="es-MX"/>
        </w:rPr>
        <w:t xml:space="preserve">monto para pago de pensiones </w:t>
      </w:r>
      <w:r w:rsidRPr="00AD165E">
        <w:rPr>
          <w:rFonts w:ascii="Avenir-Book" w:hAnsi="Avenir-Book" w:cs="Arial"/>
          <w:b/>
        </w:rPr>
        <w:t>y jubilaciones, considera un presupu</w:t>
      </w:r>
      <w:r w:rsidR="00941DC9" w:rsidRPr="00AD165E">
        <w:rPr>
          <w:rFonts w:ascii="Avenir-Book" w:hAnsi="Avenir-Book" w:cs="Arial"/>
          <w:b/>
        </w:rPr>
        <w:t>esto por un monto de $97</w:t>
      </w:r>
      <w:r w:rsidR="003919E2" w:rsidRPr="00AD165E">
        <w:rPr>
          <w:rFonts w:ascii="Avenir-Book" w:hAnsi="Avenir-Book" w:cs="Arial"/>
          <w:b/>
        </w:rPr>
        <w:t>’873,452.0</w:t>
      </w:r>
      <w:r w:rsidRPr="00AD165E">
        <w:rPr>
          <w:rFonts w:ascii="Avenir-Book" w:hAnsi="Avenir-Book" w:cs="Arial"/>
          <w:b/>
        </w:rPr>
        <w:t>0,</w:t>
      </w:r>
      <w:r w:rsidRPr="00AD165E">
        <w:rPr>
          <w:rFonts w:ascii="Avenir-Book" w:hAnsi="Avenir-Book" w:cs="Arial"/>
        </w:rPr>
        <w:t xml:space="preserve"> y se desglosa en la partida 15301 Prestaciones y Haberes de Retiro, como se muestra en el </w:t>
      </w:r>
      <w:r w:rsidRPr="00AD165E">
        <w:rPr>
          <w:rFonts w:ascii="Avenir-Book" w:hAnsi="Avenir-Book" w:cs="Arial"/>
          <w:b/>
        </w:rPr>
        <w:t>C</w:t>
      </w:r>
      <w:r w:rsidRPr="00AD165E">
        <w:rPr>
          <w:rFonts w:ascii="Avenir-Book" w:hAnsi="Avenir-Book" w:cs="Arial"/>
          <w:b/>
          <w:i/>
        </w:rPr>
        <w:t xml:space="preserve">uadro 17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0B3C73" w:rsidRPr="00AD165E" w:rsidRDefault="000B3C73" w:rsidP="000B3C73">
      <w:pPr>
        <w:pStyle w:val="Prrafodelista"/>
        <w:rPr>
          <w:rFonts w:ascii="Avenir-Book" w:hAnsi="Avenir-Book" w:cs="Arial"/>
        </w:rPr>
      </w:pPr>
    </w:p>
    <w:p w:rsidR="000B3C73" w:rsidRPr="00AD165E" w:rsidRDefault="000B3C73" w:rsidP="0094029A">
      <w:pPr>
        <w:pStyle w:val="Prrafodelista"/>
        <w:numPr>
          <w:ilvl w:val="0"/>
          <w:numId w:val="14"/>
        </w:numPr>
        <w:tabs>
          <w:tab w:val="left" w:pos="284"/>
        </w:tabs>
        <w:autoSpaceDE w:val="0"/>
        <w:autoSpaceDN w:val="0"/>
        <w:adjustRightInd w:val="0"/>
        <w:spacing w:after="0"/>
        <w:jc w:val="both"/>
        <w:rPr>
          <w:rFonts w:ascii="Avenir-Book" w:hAnsi="Avenir-Book" w:cs="Arial"/>
        </w:rPr>
      </w:pPr>
      <w:r w:rsidRPr="00AD165E">
        <w:rPr>
          <w:rFonts w:ascii="Avenir-Book" w:hAnsi="Avenir-Book" w:cs="Arial"/>
          <w:lang w:eastAsia="es-MX"/>
        </w:rPr>
        <w:t>El Municipio de Puebla confiere dentro del Presupuesto de Egresos, el monto derivado del pago denominado Justicia Municipal, mismo que es asignado a la Dirección de Juzgados Calificadores, por la cantidad de $</w:t>
      </w:r>
      <w:r w:rsidR="00C615B7" w:rsidRPr="00AD165E">
        <w:rPr>
          <w:rFonts w:ascii="Avenir-Book" w:eastAsia="Times New Roman" w:hAnsi="Avenir-Book" w:cs="Arial"/>
          <w:lang w:eastAsia="es-MX"/>
        </w:rPr>
        <w:t>15,239</w:t>
      </w:r>
      <w:r w:rsidR="003919E2" w:rsidRPr="00AD165E">
        <w:rPr>
          <w:rFonts w:ascii="Avenir-Book" w:eastAsia="Times New Roman" w:hAnsi="Avenir-Book" w:cs="Arial"/>
          <w:lang w:eastAsia="es-MX"/>
        </w:rPr>
        <w:t>,357.00</w:t>
      </w:r>
      <w:r w:rsidRPr="00AD165E">
        <w:rPr>
          <w:rFonts w:ascii="Avenir-Book" w:eastAsia="Times New Roman" w:hAnsi="Avenir-Book" w:cs="Arial"/>
          <w:lang w:eastAsia="es-MX"/>
        </w:rPr>
        <w:t>,</w:t>
      </w:r>
      <w:r w:rsidRPr="00AD165E">
        <w:rPr>
          <w:rFonts w:ascii="Avenir-Book" w:hAnsi="Avenir-Book" w:cs="Arial"/>
        </w:rPr>
        <w:t xml:space="preserve"> como se muestra en el </w:t>
      </w:r>
      <w:r w:rsidRPr="00AD165E">
        <w:rPr>
          <w:rFonts w:ascii="Avenir-Book" w:hAnsi="Avenir-Book" w:cs="Arial"/>
          <w:b/>
        </w:rPr>
        <w:t>C</w:t>
      </w:r>
      <w:r w:rsidRPr="00AD165E">
        <w:rPr>
          <w:rFonts w:ascii="Avenir-Book" w:hAnsi="Avenir-Book" w:cs="Arial"/>
          <w:b/>
          <w:i/>
        </w:rPr>
        <w:t xml:space="preserve">uadro 18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8E0E63" w:rsidRPr="00AD165E" w:rsidRDefault="008E0E63" w:rsidP="000B3C73">
      <w:pPr>
        <w:tabs>
          <w:tab w:val="left" w:pos="284"/>
        </w:tabs>
        <w:autoSpaceDE w:val="0"/>
        <w:autoSpaceDN w:val="0"/>
        <w:adjustRightInd w:val="0"/>
        <w:jc w:val="both"/>
        <w:rPr>
          <w:rFonts w:ascii="Avenir-Book" w:hAnsi="Avenir-Book" w:cs="Arial"/>
          <w:b/>
          <w:sz w:val="22"/>
          <w:szCs w:val="22"/>
        </w:rPr>
      </w:pPr>
    </w:p>
    <w:p w:rsidR="000B3C73" w:rsidRPr="00AD165E" w:rsidRDefault="008E0E63" w:rsidP="000B3C73">
      <w:pPr>
        <w:tabs>
          <w:tab w:val="left" w:pos="284"/>
        </w:tabs>
        <w:autoSpaceDE w:val="0"/>
        <w:autoSpaceDN w:val="0"/>
        <w:adjustRightInd w:val="0"/>
        <w:jc w:val="both"/>
        <w:rPr>
          <w:rFonts w:ascii="Avenir-Book" w:hAnsi="Avenir-Book" w:cs="Arial"/>
          <w:b/>
          <w:i/>
          <w:sz w:val="22"/>
          <w:szCs w:val="22"/>
        </w:rPr>
      </w:pPr>
      <w:r w:rsidRPr="00AD165E">
        <w:rPr>
          <w:rFonts w:ascii="Avenir-Book" w:hAnsi="Avenir-Book" w:cs="Arial"/>
          <w:b/>
          <w:sz w:val="22"/>
          <w:szCs w:val="22"/>
        </w:rPr>
        <w:t>Artículo 12</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 </w:t>
      </w:r>
      <w:r w:rsidR="000B3C73" w:rsidRPr="00AD165E">
        <w:rPr>
          <w:rFonts w:ascii="Avenir-Book" w:hAnsi="Avenir-Book" w:cs="Arial"/>
          <w:b/>
          <w:sz w:val="22"/>
          <w:szCs w:val="22"/>
        </w:rPr>
        <w:t xml:space="preserve">Coordinación General de Transparencia, </w:t>
      </w:r>
      <w:r w:rsidR="000B3C73" w:rsidRPr="00AD165E">
        <w:rPr>
          <w:rFonts w:ascii="Avenir-Book" w:hAnsi="Avenir-Book" w:cs="Arial"/>
          <w:sz w:val="22"/>
          <w:szCs w:val="22"/>
        </w:rPr>
        <w:t>es la Dependencia encargada de atender las solicitudes ciudadanas</w:t>
      </w:r>
      <w:r w:rsidR="000F46DE" w:rsidRPr="00AD165E">
        <w:rPr>
          <w:rFonts w:ascii="Avenir-Book" w:hAnsi="Avenir-Book" w:cs="Arial"/>
          <w:sz w:val="22"/>
          <w:szCs w:val="22"/>
        </w:rPr>
        <w:t>,</w:t>
      </w:r>
      <w:r w:rsidR="000B3C73" w:rsidRPr="00AD165E">
        <w:rPr>
          <w:rFonts w:ascii="Avenir-Book" w:hAnsi="Avenir-Book" w:cs="Arial"/>
          <w:sz w:val="22"/>
          <w:szCs w:val="22"/>
        </w:rPr>
        <w:t xml:space="preserve"> así como los requerimientos establecidos por la autoridad competente en materia de transparencia en el Municipio de Puebla, la cual para desarrollar dicha actividad tiene aprobado un presupuesto de $</w:t>
      </w:r>
      <w:r w:rsidR="00C615B7" w:rsidRPr="00AD165E">
        <w:rPr>
          <w:rFonts w:ascii="Avenir-Book" w:hAnsi="Avenir-Book" w:cs="Arial"/>
          <w:sz w:val="22"/>
          <w:szCs w:val="22"/>
          <w:lang w:eastAsia="es-MX"/>
        </w:rPr>
        <w:t>7’728,728.00</w:t>
      </w:r>
      <w:r w:rsidR="000B3C73" w:rsidRPr="00AD165E">
        <w:rPr>
          <w:rFonts w:ascii="Avenir-Book" w:hAnsi="Avenir-Book" w:cs="Arial"/>
          <w:sz w:val="22"/>
          <w:szCs w:val="22"/>
        </w:rPr>
        <w:t xml:space="preserve">, como se demuestra en el </w:t>
      </w:r>
      <w:r w:rsidR="000B3C73" w:rsidRPr="00AD165E">
        <w:rPr>
          <w:rFonts w:ascii="Avenir-Book" w:hAnsi="Avenir-Book" w:cs="Arial"/>
          <w:b/>
          <w:i/>
          <w:sz w:val="22"/>
          <w:szCs w:val="22"/>
        </w:rPr>
        <w:t xml:space="preserve">Cuadro 19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 </w:t>
      </w:r>
    </w:p>
    <w:p w:rsidR="000B3C73" w:rsidRPr="00AD165E" w:rsidRDefault="000B3C73" w:rsidP="000B3C73">
      <w:pPr>
        <w:tabs>
          <w:tab w:val="left" w:pos="284"/>
        </w:tabs>
        <w:autoSpaceDE w:val="0"/>
        <w:autoSpaceDN w:val="0"/>
        <w:adjustRightInd w:val="0"/>
        <w:jc w:val="both"/>
        <w:rPr>
          <w:rFonts w:ascii="Avenir-Book" w:hAnsi="Avenir-Book" w:cs="Arial"/>
          <w:b/>
          <w:i/>
          <w:sz w:val="22"/>
          <w:szCs w:val="22"/>
          <w:highlight w:val="yellow"/>
        </w:rPr>
      </w:pPr>
    </w:p>
    <w:p w:rsidR="000B3C73" w:rsidRPr="00AD165E" w:rsidRDefault="000B3C73" w:rsidP="000B3C73">
      <w:pPr>
        <w:tabs>
          <w:tab w:val="left" w:pos="284"/>
        </w:tabs>
        <w:autoSpaceDE w:val="0"/>
        <w:autoSpaceDN w:val="0"/>
        <w:adjustRightInd w:val="0"/>
        <w:jc w:val="both"/>
        <w:rPr>
          <w:rFonts w:ascii="Avenir-Book" w:hAnsi="Avenir-Book" w:cs="Arial"/>
          <w:sz w:val="22"/>
          <w:szCs w:val="22"/>
          <w:lang w:eastAsia="es-MX"/>
        </w:rPr>
      </w:pPr>
      <w:r w:rsidRPr="00AD165E">
        <w:rPr>
          <w:rFonts w:ascii="Avenir-Book" w:hAnsi="Avenir-Book" w:cs="Arial"/>
          <w:sz w:val="22"/>
          <w:szCs w:val="22"/>
        </w:rPr>
        <w:t>Así mismo y con la finalidad d</w:t>
      </w:r>
      <w:r w:rsidRPr="00AD165E">
        <w:rPr>
          <w:rFonts w:ascii="Avenir-Book" w:hAnsi="Avenir-Book" w:cs="Arial"/>
          <w:sz w:val="22"/>
          <w:szCs w:val="22"/>
          <w:lang w:eastAsia="es-MX"/>
        </w:rPr>
        <w:t xml:space="preserve">e contribuir al apartado para la transparencia, se anexa información al cuadro “¿En qué se gasta?” con la información complementaria, de acuerdo con el </w:t>
      </w:r>
      <w:r w:rsidRPr="00AD165E">
        <w:rPr>
          <w:rFonts w:ascii="Avenir-Book" w:hAnsi="Avenir-Book" w:cs="Arial"/>
          <w:b/>
          <w:i/>
          <w:sz w:val="22"/>
          <w:szCs w:val="22"/>
          <w:lang w:eastAsia="es-MX"/>
        </w:rPr>
        <w:t xml:space="preserve">Cuadro 20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E11AA8" w:rsidRPr="00AD165E" w:rsidRDefault="00E11AA8" w:rsidP="000B3C73">
      <w:pPr>
        <w:jc w:val="both"/>
        <w:rPr>
          <w:rFonts w:ascii="Avenir-Book" w:hAnsi="Avenir-Book" w:cs="Arial"/>
          <w:b/>
          <w:sz w:val="22"/>
          <w:szCs w:val="22"/>
        </w:rPr>
      </w:pPr>
    </w:p>
    <w:p w:rsidR="000B3C73" w:rsidRPr="00AD165E" w:rsidRDefault="001F59C0" w:rsidP="000B3C73">
      <w:pPr>
        <w:jc w:val="both"/>
        <w:rPr>
          <w:rFonts w:ascii="Avenir-Book" w:hAnsi="Avenir-Book" w:cs="Arial"/>
          <w:sz w:val="22"/>
          <w:szCs w:val="22"/>
        </w:rPr>
      </w:pPr>
      <w:r w:rsidRPr="00AD165E">
        <w:rPr>
          <w:rFonts w:ascii="Avenir-Book" w:hAnsi="Avenir-Book" w:cs="Arial"/>
          <w:b/>
          <w:sz w:val="22"/>
          <w:szCs w:val="22"/>
        </w:rPr>
        <w:t>Artículo 13</w:t>
      </w:r>
      <w:r w:rsidR="000B3C73" w:rsidRPr="00AD165E">
        <w:rPr>
          <w:rFonts w:ascii="Avenir-Book" w:hAnsi="Avenir-Book" w:cs="Arial"/>
          <w:b/>
          <w:sz w:val="22"/>
          <w:szCs w:val="22"/>
        </w:rPr>
        <w:t>.-</w:t>
      </w:r>
      <w:r w:rsidR="000B3C73" w:rsidRPr="00AD165E">
        <w:rPr>
          <w:rFonts w:ascii="Avenir-Book" w:hAnsi="Avenir-Book" w:cs="Arial"/>
          <w:sz w:val="22"/>
          <w:szCs w:val="22"/>
        </w:rPr>
        <w:t>El Municipio de Puebla, no desglosa pago para contratos con Asociaciones Público Privadas, en el Presupuesto de Egresos del ejercicio 2019,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rsidR="000F46DE" w:rsidRPr="00AD165E" w:rsidRDefault="000F46DE" w:rsidP="000B3C73">
      <w:pPr>
        <w:pStyle w:val="Default"/>
        <w:tabs>
          <w:tab w:val="left" w:pos="284"/>
        </w:tabs>
        <w:spacing w:line="276" w:lineRule="auto"/>
        <w:jc w:val="both"/>
        <w:rPr>
          <w:rFonts w:ascii="Avenir-Book" w:hAnsi="Avenir-Book" w:cs="Arial"/>
          <w:b/>
          <w:bCs/>
          <w:i/>
          <w:color w:val="auto"/>
          <w:sz w:val="22"/>
          <w:szCs w:val="22"/>
          <w:lang w:eastAsia="es-MX"/>
        </w:rPr>
      </w:pPr>
    </w:p>
    <w:p w:rsidR="001B3004" w:rsidRPr="00AD165E" w:rsidRDefault="000B3C73" w:rsidP="003F6B6A">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Se incluye para dar cumplimiento al Criterio 75 del Catálogo de Criterios de Evaluación para la Elaboración del índice de Información Pre</w:t>
      </w:r>
      <w:r w:rsidR="00C615B7" w:rsidRPr="00AD165E">
        <w:rPr>
          <w:rFonts w:ascii="Avenir-Book" w:hAnsi="Avenir-Book" w:cs="Arial"/>
          <w:b/>
          <w:bCs/>
          <w:i/>
          <w:color w:val="auto"/>
          <w:sz w:val="16"/>
          <w:szCs w:val="16"/>
          <w:lang w:eastAsia="es-MX"/>
        </w:rPr>
        <w:t xml:space="preserve">supuestal Municipal (IIPM) 2017 </w:t>
      </w:r>
      <w:r w:rsidRPr="00AD165E">
        <w:rPr>
          <w:rFonts w:ascii="Avenir-Book" w:hAnsi="Avenir-Book" w:cs="Arial"/>
          <w:b/>
          <w:bCs/>
          <w:i/>
          <w:color w:val="auto"/>
          <w:sz w:val="16"/>
          <w:szCs w:val="16"/>
          <w:lang w:eastAsia="es-MX"/>
        </w:rPr>
        <w:t>del Instituto Mexicano para la Competitividad, A.C.</w:t>
      </w:r>
    </w:p>
    <w:p w:rsidR="001B3004" w:rsidRPr="00AD165E" w:rsidRDefault="001B3004" w:rsidP="000B3C73">
      <w:pPr>
        <w:pStyle w:val="Default"/>
        <w:spacing w:line="276" w:lineRule="auto"/>
        <w:rPr>
          <w:rFonts w:ascii="Avenir-Book" w:hAnsi="Avenir-Book" w:cs="Arial"/>
          <w:noProof/>
          <w:color w:val="auto"/>
          <w:sz w:val="22"/>
          <w:szCs w:val="22"/>
          <w:lang w:val="es-MX"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III</w:t>
      </w:r>
    </w:p>
    <w:p w:rsidR="000B3C73" w:rsidRPr="00AD165E" w:rsidRDefault="000B3C73" w:rsidP="000B3C73">
      <w:pPr>
        <w:jc w:val="center"/>
        <w:rPr>
          <w:rFonts w:ascii="Avenir-Book" w:hAnsi="Avenir-Book" w:cs="Arial"/>
          <w:b/>
          <w:sz w:val="22"/>
          <w:szCs w:val="22"/>
        </w:rPr>
      </w:pPr>
      <w:r w:rsidRPr="00AD165E">
        <w:rPr>
          <w:rFonts w:ascii="Avenir-Book" w:hAnsi="Avenir-Book" w:cs="Arial"/>
          <w:b/>
          <w:bCs/>
          <w:sz w:val="22"/>
          <w:szCs w:val="22"/>
          <w:lang w:eastAsia="es-MX"/>
        </w:rPr>
        <w:t>DE LOS RECURSOS FEDERALES TRANSFERIDOS AL MUNICIPIO</w:t>
      </w:r>
    </w:p>
    <w:p w:rsidR="000B3C73" w:rsidRPr="00AD165E" w:rsidRDefault="000B3C73" w:rsidP="000B3C73">
      <w:pPr>
        <w:pStyle w:val="Default"/>
        <w:tabs>
          <w:tab w:val="left" w:pos="284"/>
        </w:tabs>
        <w:spacing w:line="276" w:lineRule="auto"/>
        <w:ind w:right="332"/>
        <w:jc w:val="center"/>
        <w:rPr>
          <w:rFonts w:ascii="Avenir-Book" w:hAnsi="Avenir-Book" w:cs="Arial"/>
          <w:b/>
          <w:bCs/>
          <w:color w:val="auto"/>
          <w:sz w:val="22"/>
          <w:szCs w:val="22"/>
          <w:lang w:eastAsia="es-MX"/>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15</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Presupuesto de Egresos 2019 contempla </w:t>
      </w:r>
      <w:r w:rsidR="00C615B7" w:rsidRPr="00AD165E">
        <w:rPr>
          <w:rFonts w:ascii="Avenir-Book" w:hAnsi="Avenir-Book" w:cs="Arial"/>
          <w:bCs/>
          <w:sz w:val="22"/>
          <w:szCs w:val="22"/>
        </w:rPr>
        <w:t>$1,277’377,626.00</w:t>
      </w:r>
      <w:r w:rsidR="000B3C73" w:rsidRPr="00AD165E">
        <w:rPr>
          <w:rFonts w:ascii="Avenir-Book" w:hAnsi="Avenir-Book" w:cs="Arial"/>
          <w:bCs/>
          <w:sz w:val="22"/>
          <w:szCs w:val="22"/>
        </w:rPr>
        <w:t>,</w:t>
      </w:r>
      <w:r w:rsidR="000B3C73" w:rsidRPr="00AD165E">
        <w:rPr>
          <w:rFonts w:ascii="Avenir-Book" w:hAnsi="Avenir-Book" w:cs="Arial"/>
          <w:sz w:val="22"/>
          <w:szCs w:val="22"/>
        </w:rPr>
        <w:t xml:space="preserve"> recurso proveniente de gasto federalizado y/o estatal, mismo que será ministrado de conformidad con las disposiciones aplicables y los calendarios de gasto correspondientes.</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En el caso de los programas que prevean la aportación de recursos federales para ser ejercidos de manera concurrente con recursos municipales, el Gobierno Municipal deberá realizar las aportaciones de recursos en las cuentas específicas para administrar dichos recursos. </w:t>
      </w:r>
    </w:p>
    <w:p w:rsidR="000B3C73" w:rsidRPr="00AD165E" w:rsidRDefault="000B3C73" w:rsidP="000B3C73">
      <w:pPr>
        <w:jc w:val="both"/>
        <w:rPr>
          <w:rFonts w:ascii="Avenir-Book" w:hAnsi="Avenir-Book" w:cs="Arial"/>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16</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Las Dependencias y Entidades Federales, solo podrán transferir recursos federales al Municipio de Puebla, </w:t>
      </w:r>
      <w:r w:rsidR="00C615B7" w:rsidRPr="00AD165E">
        <w:rPr>
          <w:rFonts w:ascii="Avenir-Book" w:hAnsi="Avenir-Book" w:cs="Arial"/>
          <w:sz w:val="22"/>
          <w:szCs w:val="22"/>
        </w:rPr>
        <w:t>a través de la Tesorería del H.</w:t>
      </w:r>
      <w:r w:rsidR="000B3C73" w:rsidRPr="00AD165E">
        <w:rPr>
          <w:rFonts w:ascii="Avenir-Book" w:hAnsi="Avenir-Book" w:cs="Arial"/>
          <w:sz w:val="22"/>
          <w:szCs w:val="22"/>
        </w:rPr>
        <w:t xml:space="preserve">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rsidR="000B3C73" w:rsidRPr="00AD165E" w:rsidRDefault="000B3C73" w:rsidP="000B3C73">
      <w:pPr>
        <w:jc w:val="both"/>
        <w:rPr>
          <w:rFonts w:ascii="Avenir-Book" w:hAnsi="Avenir-Book" w:cs="Arial"/>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17</w:t>
      </w:r>
      <w:r w:rsidR="000B3C73" w:rsidRPr="00AD165E">
        <w:rPr>
          <w:rFonts w:ascii="Avenir-Book" w:hAnsi="Avenir-Book" w:cs="Arial"/>
          <w:b/>
          <w:sz w:val="22"/>
          <w:szCs w:val="22"/>
        </w:rPr>
        <w:t xml:space="preserve">.- </w:t>
      </w:r>
      <w:r w:rsidR="000B3C73" w:rsidRPr="00AD165E">
        <w:rPr>
          <w:rFonts w:ascii="Avenir-Book" w:hAnsi="Avenir-Book" w:cs="Arial"/>
          <w:sz w:val="22"/>
          <w:szCs w:val="22"/>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 en apego a lo previsto en los numéricos 61, 62 y 65 de la Ley de Disciplina Financiera para las Entidades Federativas y los Municipios.</w:t>
      </w:r>
    </w:p>
    <w:p w:rsidR="000B3C73" w:rsidRPr="00AD165E" w:rsidRDefault="000B3C73" w:rsidP="000B3C73">
      <w:pPr>
        <w:jc w:val="both"/>
        <w:rPr>
          <w:rFonts w:ascii="Avenir-Book" w:hAnsi="Avenir-Book" w:cs="Arial"/>
          <w:b/>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18</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00C615B7" w:rsidRPr="00AD165E">
        <w:rPr>
          <w:rFonts w:ascii="Avenir-Book" w:hAnsi="Avenir-Book" w:cs="Arial"/>
          <w:bCs/>
          <w:sz w:val="22"/>
          <w:szCs w:val="22"/>
        </w:rPr>
        <w:t>$1,292’377,626.00</w:t>
      </w:r>
      <w:r w:rsidR="000B3C73" w:rsidRPr="00AD165E">
        <w:rPr>
          <w:rFonts w:ascii="Avenir-Book" w:hAnsi="Avenir-Book" w:cs="Arial"/>
          <w:sz w:val="22"/>
          <w:szCs w:val="22"/>
        </w:rPr>
        <w:t xml:space="preserve">, distribuidos como se demuestra en el </w:t>
      </w:r>
      <w:r w:rsidR="000B3C73" w:rsidRPr="00AD165E">
        <w:rPr>
          <w:rFonts w:ascii="Avenir-Book" w:hAnsi="Avenir-Book" w:cs="Arial"/>
          <w:b/>
          <w:sz w:val="22"/>
          <w:szCs w:val="22"/>
        </w:rPr>
        <w:t>C</w:t>
      </w:r>
      <w:r w:rsidR="001F59C0" w:rsidRPr="00AD165E">
        <w:rPr>
          <w:rFonts w:ascii="Avenir-Book" w:hAnsi="Avenir-Book" w:cs="Arial"/>
          <w:b/>
          <w:i/>
          <w:sz w:val="22"/>
          <w:szCs w:val="22"/>
        </w:rPr>
        <w:t xml:space="preserve">uadro 21 </w:t>
      </w:r>
      <w:r w:rsidR="000B3C73"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En complemento al párrafo que antecede y con el fin de transparentar la distribución de los recursos del Ramo 33, en el </w:t>
      </w:r>
      <w:r w:rsidRPr="00AD165E">
        <w:rPr>
          <w:rFonts w:ascii="Avenir-Book" w:hAnsi="Avenir-Book" w:cs="Arial"/>
          <w:b/>
          <w:sz w:val="22"/>
          <w:szCs w:val="22"/>
        </w:rPr>
        <w:t>C</w:t>
      </w:r>
      <w:r w:rsidR="001F59C0" w:rsidRPr="00AD165E">
        <w:rPr>
          <w:rFonts w:ascii="Avenir-Book" w:hAnsi="Avenir-Book" w:cs="Arial"/>
          <w:b/>
          <w:i/>
          <w:sz w:val="22"/>
          <w:szCs w:val="22"/>
        </w:rPr>
        <w:t xml:space="preserve">uadro 22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se desglosan los rubros a los que serán destinados los recursos provenientes tanto del Fondo de Aportaciones para Infraestructura Social Municipal (FAISM) como del Fondo de Aportaciones para el Fortalecimiento de los Municipios (FORTAMUN)</w:t>
      </w:r>
      <w:r w:rsidR="00801C04" w:rsidRPr="00AD165E">
        <w:rPr>
          <w:rFonts w:ascii="Avenir-Book" w:hAnsi="Avenir-Book" w:cs="Arial"/>
          <w:sz w:val="22"/>
          <w:szCs w:val="22"/>
        </w:rPr>
        <w:t xml:space="preserve"> y el Fondo de Infraestructura Social Municipal (FISM)</w:t>
      </w:r>
      <w:r w:rsidRPr="00AD165E">
        <w:rPr>
          <w:rFonts w:ascii="Avenir-Book" w:hAnsi="Avenir-Book" w:cs="Arial"/>
          <w:sz w:val="22"/>
          <w:szCs w:val="22"/>
        </w:rPr>
        <w:t xml:space="preserve">; de manera complementaria en el </w:t>
      </w:r>
      <w:r w:rsidRPr="00AD165E">
        <w:rPr>
          <w:rFonts w:ascii="Avenir-Book" w:hAnsi="Avenir-Book" w:cs="Arial"/>
          <w:b/>
          <w:sz w:val="22"/>
          <w:szCs w:val="22"/>
        </w:rPr>
        <w:t>C</w:t>
      </w:r>
      <w:r w:rsidR="001F59C0" w:rsidRPr="00AD165E">
        <w:rPr>
          <w:rFonts w:ascii="Avenir-Book" w:hAnsi="Avenir-Book" w:cs="Arial"/>
          <w:b/>
          <w:i/>
          <w:sz w:val="22"/>
          <w:szCs w:val="22"/>
        </w:rPr>
        <w:t>uadro 23</w:t>
      </w:r>
      <w:r w:rsidRPr="00AD165E">
        <w:rPr>
          <w:rFonts w:ascii="Avenir-Book" w:hAnsi="Avenir-Book" w:cs="Arial"/>
          <w:b/>
          <w:i/>
          <w:sz w:val="22"/>
          <w:szCs w:val="22"/>
        </w:rPr>
        <w:t xml:space="preserve"> del mismo anexo, </w:t>
      </w:r>
      <w:r w:rsidRPr="00AD165E">
        <w:rPr>
          <w:rFonts w:ascii="Avenir-Book" w:hAnsi="Avenir-Book" w:cs="Arial"/>
          <w:sz w:val="22"/>
          <w:szCs w:val="22"/>
        </w:rPr>
        <w:t>se presenta la distribución de los mismos por capítulo de gasto.</w:t>
      </w:r>
    </w:p>
    <w:p w:rsidR="000B3C73" w:rsidRPr="00AD165E" w:rsidRDefault="000B3C73" w:rsidP="000B3C73">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IV</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 INFORMACIÓN PRESUPUESTAL POR RUBROS ESPECÍFICOS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CONTENIDO EN LOS PROGRAMAS PRESUPUESTARIOS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EB3504"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19</w:t>
      </w:r>
      <w:r w:rsidR="000B3C73" w:rsidRPr="00AD165E">
        <w:rPr>
          <w:rFonts w:ascii="Avenir-Book" w:hAnsi="Avenir-Book" w:cs="Arial"/>
          <w:b/>
          <w:sz w:val="22"/>
          <w:szCs w:val="22"/>
        </w:rPr>
        <w:t>.-</w:t>
      </w:r>
      <w:r w:rsidR="000B3C73" w:rsidRPr="00AD165E">
        <w:rPr>
          <w:rFonts w:ascii="Avenir-Book" w:hAnsi="Avenir-Book" w:cs="Arial"/>
          <w:sz w:val="22"/>
          <w:szCs w:val="22"/>
        </w:rPr>
        <w:t xml:space="preserve">El Presupuesto de Egresos es la estimación financiera anticipada, de periodicidad anual de los egresos del Honorable Ayuntamiento del Municipio de Puebla, </w:t>
      </w:r>
      <w:r w:rsidR="0005389C" w:rsidRPr="00AD165E">
        <w:rPr>
          <w:rFonts w:ascii="Avenir-Book" w:hAnsi="Avenir-Book" w:cs="Arial"/>
          <w:sz w:val="22"/>
          <w:szCs w:val="22"/>
        </w:rPr>
        <w:t>a efecto de garantizar el cumplimiento de</w:t>
      </w:r>
      <w:r w:rsidR="000B3C73" w:rsidRPr="00AD165E">
        <w:rPr>
          <w:rFonts w:ascii="Avenir-Book" w:hAnsi="Avenir-Book" w:cs="Arial"/>
          <w:sz w:val="22"/>
          <w:szCs w:val="22"/>
        </w:rPr>
        <w:t xml:space="preserve"> las metas establecidas en los Programas Presupuestarios de las Dependencias y/o Entidades que integran la Administración Pública Municipal. </w:t>
      </w:r>
    </w:p>
    <w:p w:rsidR="00C3206C" w:rsidRPr="00AD165E" w:rsidRDefault="00C3206C"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Asimismo, constit</w:t>
      </w:r>
      <w:r w:rsidR="0005389C" w:rsidRPr="00AD165E">
        <w:rPr>
          <w:rFonts w:ascii="Avenir-Book" w:hAnsi="Avenir-Book" w:cs="Arial"/>
          <w:sz w:val="22"/>
          <w:szCs w:val="22"/>
        </w:rPr>
        <w:t>uye el instrumento rector que enuncia</w:t>
      </w:r>
      <w:r w:rsidRPr="00AD165E">
        <w:rPr>
          <w:rFonts w:ascii="Avenir-Book" w:hAnsi="Avenir-Book" w:cs="Arial"/>
          <w:sz w:val="22"/>
          <w:szCs w:val="22"/>
        </w:rPr>
        <w:t xml:space="preserve"> las decision</w:t>
      </w:r>
      <w:r w:rsidR="0005389C" w:rsidRPr="00AD165E">
        <w:rPr>
          <w:rFonts w:ascii="Avenir-Book" w:hAnsi="Avenir-Book" w:cs="Arial"/>
          <w:sz w:val="22"/>
          <w:szCs w:val="22"/>
        </w:rPr>
        <w:t>es en materia de programación y para la planeación</w:t>
      </w:r>
      <w:r w:rsidRPr="00AD165E">
        <w:rPr>
          <w:rFonts w:ascii="Avenir-Book" w:hAnsi="Avenir-Book" w:cs="Arial"/>
          <w:sz w:val="22"/>
          <w:szCs w:val="22"/>
        </w:rPr>
        <w:t xml:space="preserve"> se dispone</w:t>
      </w:r>
      <w:r w:rsidR="0005389C" w:rsidRPr="00AD165E">
        <w:rPr>
          <w:rFonts w:ascii="Avenir-Book" w:hAnsi="Avenir-Book" w:cs="Arial"/>
          <w:sz w:val="22"/>
          <w:szCs w:val="22"/>
        </w:rPr>
        <w:t>n</w:t>
      </w:r>
      <w:r w:rsidRPr="00AD165E">
        <w:rPr>
          <w:rFonts w:ascii="Avenir-Book" w:hAnsi="Avenir-Book" w:cs="Arial"/>
          <w:sz w:val="22"/>
          <w:szCs w:val="22"/>
        </w:rPr>
        <w:t xml:space="preserve"> los programas presupuestarios en los que se distribuye el recurso calendarizado para el cumplimiento de objetivos y metas, programadas por las Dependencias y Entidades.</w:t>
      </w: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Esta tendencia </w:t>
      </w:r>
      <w:r w:rsidR="0005389C" w:rsidRPr="00AD165E">
        <w:rPr>
          <w:rFonts w:ascii="Avenir-Book" w:hAnsi="Avenir-Book" w:cs="Arial"/>
          <w:sz w:val="22"/>
          <w:szCs w:val="22"/>
        </w:rPr>
        <w:t xml:space="preserve">permanece </w:t>
      </w:r>
      <w:r w:rsidRPr="00AD165E">
        <w:rPr>
          <w:rFonts w:ascii="Avenir-Book" w:hAnsi="Avenir-Book" w:cs="Arial"/>
          <w:sz w:val="22"/>
          <w:szCs w:val="22"/>
        </w:rPr>
        <w:t>a través del Presupuesto Basado en Resultados (PBR), centrando los resultados que dicho proceso genera, mejorando la eficiencia y eficacia del gasto público y facilitar el seguimiento de las actividades y rendimiento de sus ejecutores.</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8E0E63" w:rsidP="000B3C73">
      <w:pPr>
        <w:widowControl w:val="0"/>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20</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Municipio de Puebla para dar cumplimiento a lo establecido en el artículo 61 fracción II de la Ley General de Contabilidad Gubernamental, presenta en el </w:t>
      </w:r>
      <w:r w:rsidR="000B3C73" w:rsidRPr="00AD165E">
        <w:rPr>
          <w:rFonts w:ascii="Avenir-Book" w:hAnsi="Avenir-Book" w:cs="Arial"/>
          <w:b/>
          <w:sz w:val="22"/>
          <w:szCs w:val="22"/>
        </w:rPr>
        <w:t>C</w:t>
      </w:r>
      <w:r w:rsidR="001F59C0" w:rsidRPr="00AD165E">
        <w:rPr>
          <w:rFonts w:ascii="Avenir-Book" w:hAnsi="Avenir-Book" w:cs="Arial"/>
          <w:b/>
          <w:i/>
          <w:sz w:val="22"/>
          <w:szCs w:val="22"/>
        </w:rPr>
        <w:t>uadro 24</w:t>
      </w:r>
      <w:r w:rsidR="000B3C73"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 </w:t>
      </w:r>
      <w:r w:rsidR="000B3C73" w:rsidRPr="00AD165E">
        <w:rPr>
          <w:rFonts w:ascii="Avenir-Book" w:hAnsi="Avenir-Book" w:cs="Arial"/>
          <w:sz w:val="22"/>
          <w:szCs w:val="22"/>
        </w:rPr>
        <w:t>los resultados de la evaluación trimestral de</w:t>
      </w:r>
      <w:r w:rsidR="003919E2" w:rsidRPr="00AD165E">
        <w:rPr>
          <w:rFonts w:ascii="Avenir-Book" w:hAnsi="Avenir-Book" w:cs="Arial"/>
          <w:sz w:val="22"/>
          <w:szCs w:val="22"/>
        </w:rPr>
        <w:t xml:space="preserve"> “</w:t>
      </w:r>
      <w:r w:rsidR="00C250D8" w:rsidRPr="00AD165E">
        <w:rPr>
          <w:rFonts w:ascii="Avenir-Book" w:hAnsi="Avenir-Book" w:cs="Arial"/>
          <w:sz w:val="22"/>
          <w:szCs w:val="22"/>
        </w:rPr>
        <w:t xml:space="preserve">Resultados de la Evaluación del Tercer Trimestre 2018 de </w:t>
      </w:r>
      <w:r w:rsidR="003919E2" w:rsidRPr="00AD165E">
        <w:rPr>
          <w:rFonts w:ascii="Avenir-Book" w:hAnsi="Avenir-Book" w:cs="Arial"/>
          <w:sz w:val="22"/>
          <w:szCs w:val="22"/>
        </w:rPr>
        <w:t>Programas Presupuestarios</w:t>
      </w:r>
      <w:r w:rsidR="00C250D8" w:rsidRPr="00AD165E">
        <w:rPr>
          <w:rFonts w:ascii="Avenir-Book" w:hAnsi="Avenir-Book" w:cs="Arial"/>
          <w:sz w:val="22"/>
          <w:szCs w:val="22"/>
        </w:rPr>
        <w:t xml:space="preserve"> Desempeño de Componentes</w:t>
      </w:r>
      <w:r w:rsidR="000B3C73" w:rsidRPr="00AD165E">
        <w:rPr>
          <w:rFonts w:ascii="Avenir-Book" w:hAnsi="Avenir-Book" w:cs="Arial"/>
          <w:sz w:val="22"/>
          <w:szCs w:val="22"/>
        </w:rPr>
        <w:t>”.</w:t>
      </w:r>
    </w:p>
    <w:p w:rsidR="000B3C73" w:rsidRPr="00AD165E" w:rsidRDefault="000B3C73" w:rsidP="000B3C73">
      <w:pPr>
        <w:widowControl w:val="0"/>
        <w:autoSpaceDE w:val="0"/>
        <w:autoSpaceDN w:val="0"/>
        <w:adjustRightInd w:val="0"/>
        <w:jc w:val="both"/>
        <w:rPr>
          <w:rFonts w:ascii="Avenir-Book" w:hAnsi="Avenir-Book" w:cs="Arial"/>
          <w:sz w:val="22"/>
          <w:szCs w:val="22"/>
        </w:rPr>
      </w:pPr>
    </w:p>
    <w:p w:rsidR="000B3C73" w:rsidRPr="00AD165E" w:rsidRDefault="000B3C73" w:rsidP="000B3C73">
      <w:pPr>
        <w:widowControl w:val="0"/>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Así mismo en el </w:t>
      </w:r>
      <w:r w:rsidRPr="00AD165E">
        <w:rPr>
          <w:rFonts w:ascii="Avenir-Book" w:hAnsi="Avenir-Book" w:cs="Arial"/>
          <w:b/>
          <w:sz w:val="22"/>
          <w:szCs w:val="22"/>
        </w:rPr>
        <w:t>C</w:t>
      </w:r>
      <w:r w:rsidR="00C250D8" w:rsidRPr="00AD165E">
        <w:rPr>
          <w:rFonts w:ascii="Avenir-Book" w:hAnsi="Avenir-Book" w:cs="Arial"/>
          <w:b/>
          <w:i/>
          <w:sz w:val="22"/>
          <w:szCs w:val="22"/>
        </w:rPr>
        <w:t>uadro 25</w:t>
      </w:r>
      <w:r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el listado de programas presupuestarios, con indicadores estratégicos y de gestión.</w:t>
      </w:r>
    </w:p>
    <w:p w:rsidR="000B3C73" w:rsidRPr="00AD165E" w:rsidRDefault="000B3C73" w:rsidP="000B3C73">
      <w:pPr>
        <w:widowControl w:val="0"/>
        <w:autoSpaceDE w:val="0"/>
        <w:autoSpaceDN w:val="0"/>
        <w:adjustRightInd w:val="0"/>
        <w:jc w:val="both"/>
        <w:rPr>
          <w:rFonts w:ascii="Avenir-Book" w:hAnsi="Avenir-Book" w:cs="Arial"/>
          <w:sz w:val="22"/>
          <w:szCs w:val="22"/>
        </w:rPr>
      </w:pPr>
    </w:p>
    <w:p w:rsidR="001B3004"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21</w:t>
      </w:r>
      <w:r w:rsidR="000B3C73" w:rsidRPr="00AD165E">
        <w:rPr>
          <w:rFonts w:ascii="Avenir-Book" w:hAnsi="Avenir-Book" w:cs="Arial"/>
          <w:b/>
          <w:sz w:val="22"/>
          <w:szCs w:val="22"/>
        </w:rPr>
        <w:t xml:space="preserve">.- </w:t>
      </w:r>
      <w:r w:rsidR="000B3C73" w:rsidRPr="00AD165E">
        <w:rPr>
          <w:rFonts w:ascii="Avenir-Book" w:hAnsi="Avenir-Book" w:cs="Arial"/>
          <w:sz w:val="22"/>
          <w:szCs w:val="22"/>
        </w:rPr>
        <w:t>Con fundamento en el artículo 61 fracción II de la Ley General de Contabilidad Gubernamental, en el Presupuesto de Egresos 201</w:t>
      </w:r>
      <w:r w:rsidR="00B425A3" w:rsidRPr="00AD165E">
        <w:rPr>
          <w:rFonts w:ascii="Avenir-Book" w:hAnsi="Avenir-Book" w:cs="Arial"/>
          <w:sz w:val="22"/>
          <w:szCs w:val="22"/>
        </w:rPr>
        <w:t>9</w:t>
      </w:r>
      <w:r w:rsidR="000B3C73" w:rsidRPr="00AD165E">
        <w:rPr>
          <w:rFonts w:ascii="Avenir-Book" w:hAnsi="Avenir-Book" w:cs="Arial"/>
          <w:sz w:val="22"/>
          <w:szCs w:val="22"/>
        </w:rPr>
        <w:t xml:space="preserve"> se resaltan los principales componentes de las Dependencias y Organismos Descentralizados d</w:t>
      </w:r>
      <w:r w:rsidR="00C250D8" w:rsidRPr="00AD165E">
        <w:rPr>
          <w:rFonts w:ascii="Avenir-Book" w:hAnsi="Avenir-Book" w:cs="Arial"/>
          <w:sz w:val="22"/>
          <w:szCs w:val="22"/>
        </w:rPr>
        <w:t>el H.</w:t>
      </w:r>
      <w:r w:rsidR="000B3C73" w:rsidRPr="00AD165E">
        <w:rPr>
          <w:rFonts w:ascii="Avenir-Book" w:hAnsi="Avenir-Book" w:cs="Arial"/>
          <w:sz w:val="22"/>
          <w:szCs w:val="22"/>
        </w:rPr>
        <w:t xml:space="preserve"> Ayuntamiento</w:t>
      </w:r>
      <w:r w:rsidR="00801C04" w:rsidRPr="00AD165E">
        <w:rPr>
          <w:rFonts w:ascii="Avenir-Book" w:hAnsi="Avenir-Book" w:cs="Arial"/>
          <w:sz w:val="22"/>
          <w:szCs w:val="22"/>
        </w:rPr>
        <w:t xml:space="preserve"> </w:t>
      </w:r>
      <w:r w:rsidR="000B3C73" w:rsidRPr="00AD165E">
        <w:rPr>
          <w:rFonts w:ascii="Avenir-Book" w:hAnsi="Avenir-Book" w:cs="Arial"/>
          <w:sz w:val="22"/>
          <w:szCs w:val="22"/>
        </w:rPr>
        <w:t>del Municipio de Puebla</w:t>
      </w:r>
      <w:r w:rsidR="00A532EA" w:rsidRPr="00AD165E">
        <w:rPr>
          <w:rFonts w:ascii="Avenir-Book" w:hAnsi="Avenir-Book" w:cs="Arial"/>
          <w:sz w:val="22"/>
          <w:szCs w:val="22"/>
        </w:rPr>
        <w:t xml:space="preserve">, </w:t>
      </w:r>
      <w:r w:rsidR="00A532EA" w:rsidRPr="00AD165E">
        <w:rPr>
          <w:rFonts w:ascii="Avenir-Book" w:hAnsi="Avenir-Book" w:cs="Arial"/>
          <w:b/>
          <w:i/>
          <w:sz w:val="22"/>
          <w:szCs w:val="22"/>
        </w:rPr>
        <w:t>Cuadro 26 del Anexo 1 del Presupuesto de Egresos</w:t>
      </w:r>
      <w:r w:rsidR="00C250D8" w:rsidRPr="00AD165E">
        <w:rPr>
          <w:rFonts w:ascii="Avenir-Book" w:hAnsi="Avenir-Book" w:cs="Arial"/>
          <w:sz w:val="22"/>
          <w:szCs w:val="22"/>
        </w:rPr>
        <w:t>.</w:t>
      </w:r>
    </w:p>
    <w:p w:rsidR="00C250D8" w:rsidRPr="00AD165E" w:rsidRDefault="00C250D8"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Complementando el párrafo que antecede, se describe la distribución del presupuesto de los programas presupuestarios con sus principales componentes, por Dependencia y Organismo Descentralizado con base en lo siguiente:</w:t>
      </w:r>
    </w:p>
    <w:p w:rsidR="00C250D8" w:rsidRPr="00AD165E" w:rsidRDefault="00C250D8" w:rsidP="000B3C73">
      <w:pPr>
        <w:autoSpaceDE w:val="0"/>
        <w:autoSpaceDN w:val="0"/>
        <w:adjustRightInd w:val="0"/>
        <w:jc w:val="both"/>
        <w:rPr>
          <w:rFonts w:ascii="Avenir-Book" w:hAnsi="Avenir-Book" w:cs="Arial"/>
          <w:sz w:val="22"/>
          <w:szCs w:val="22"/>
        </w:rPr>
      </w:pPr>
    </w:p>
    <w:p w:rsidR="00C250D8" w:rsidRPr="00AD165E" w:rsidRDefault="00E57D81" w:rsidP="000B3C73">
      <w:pPr>
        <w:autoSpaceDE w:val="0"/>
        <w:autoSpaceDN w:val="0"/>
        <w:adjustRightInd w:val="0"/>
        <w:jc w:val="both"/>
        <w:rPr>
          <w:rFonts w:ascii="Avenir-Book" w:hAnsi="Avenir-Book" w:cs="Arial"/>
          <w:sz w:val="22"/>
          <w:szCs w:val="22"/>
        </w:rPr>
      </w:pPr>
      <w:r w:rsidRPr="00AD165E">
        <w:rPr>
          <w:rFonts w:ascii="Avenir-Book" w:hAnsi="Avenir-Book"/>
          <w:noProof/>
          <w:szCs w:val="22"/>
          <w:lang w:val="es-MX" w:eastAsia="es-MX"/>
        </w:rPr>
        <w:drawing>
          <wp:inline distT="0" distB="0" distL="0" distR="0">
            <wp:extent cx="5611495" cy="3823629"/>
            <wp:effectExtent l="1905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611495" cy="3823629"/>
                    </a:xfrm>
                    <a:prstGeom prst="rect">
                      <a:avLst/>
                    </a:prstGeom>
                    <a:noFill/>
                    <a:ln w="9525">
                      <a:noFill/>
                      <a:miter lim="800000"/>
                      <a:headEnd/>
                      <a:tailEnd/>
                    </a:ln>
                  </pic:spPr>
                </pic:pic>
              </a:graphicData>
            </a:graphic>
          </wp:inline>
        </w:drawing>
      </w:r>
    </w:p>
    <w:p w:rsidR="00E57D81" w:rsidRPr="00AD165E" w:rsidRDefault="00E57D81" w:rsidP="00AD3D58">
      <w:pPr>
        <w:jc w:val="center"/>
        <w:rPr>
          <w:rFonts w:ascii="Avenir-Book" w:hAnsi="Avenir-Book" w:cs="Arial"/>
          <w:b/>
          <w:bCs/>
          <w:i/>
          <w:sz w:val="16"/>
          <w:szCs w:val="16"/>
          <w:lang w:eastAsia="es-MX"/>
        </w:rPr>
      </w:pPr>
    </w:p>
    <w:p w:rsidR="00AD3D58" w:rsidRPr="00AD165E" w:rsidRDefault="00AD3D58" w:rsidP="00AD3D58">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E57D81" w:rsidP="00E57D81">
      <w:pPr>
        <w:autoSpaceDE w:val="0"/>
        <w:autoSpaceDN w:val="0"/>
        <w:adjustRightInd w:val="0"/>
        <w:jc w:val="center"/>
        <w:rPr>
          <w:rFonts w:ascii="Avenir-Book" w:hAnsi="Avenir-Book" w:cs="Arial"/>
          <w:b/>
          <w:bCs/>
          <w:sz w:val="22"/>
          <w:szCs w:val="22"/>
          <w:highlight w:val="yellow"/>
          <w:lang w:eastAsia="es-MX"/>
        </w:rPr>
      </w:pPr>
      <w:r w:rsidRPr="00AD165E">
        <w:rPr>
          <w:rFonts w:ascii="Avenir-Book" w:hAnsi="Avenir-Book"/>
          <w:noProof/>
          <w:szCs w:val="22"/>
          <w:lang w:val="es-MX" w:eastAsia="es-MX"/>
        </w:rPr>
        <w:drawing>
          <wp:inline distT="0" distB="0" distL="0" distR="0">
            <wp:extent cx="5611495" cy="6159874"/>
            <wp:effectExtent l="19050" t="0" r="825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611495" cy="6159874"/>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E57D81" w:rsidP="00AD3D58">
      <w:pPr>
        <w:autoSpaceDE w:val="0"/>
        <w:autoSpaceDN w:val="0"/>
        <w:adjustRightInd w:val="0"/>
        <w:jc w:val="center"/>
        <w:rPr>
          <w:rFonts w:ascii="Avenir-Book" w:hAnsi="Avenir-Book" w:cs="Arial"/>
          <w:b/>
          <w:bCs/>
          <w:sz w:val="22"/>
          <w:szCs w:val="22"/>
          <w:highlight w:val="yellow"/>
          <w:lang w:eastAsia="es-MX"/>
        </w:rPr>
      </w:pPr>
      <w:r w:rsidRPr="00AD165E">
        <w:rPr>
          <w:rFonts w:ascii="Avenir-Book" w:hAnsi="Avenir-Book"/>
          <w:noProof/>
          <w:szCs w:val="22"/>
          <w:lang w:val="es-MX" w:eastAsia="es-MX"/>
        </w:rPr>
        <w:drawing>
          <wp:inline distT="0" distB="0" distL="0" distR="0">
            <wp:extent cx="5611495" cy="1795378"/>
            <wp:effectExtent l="19050" t="0" r="825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611495" cy="1795378"/>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E57D81" w:rsidRPr="00AD165E" w:rsidRDefault="00E57D81" w:rsidP="00AD3D58">
      <w:pPr>
        <w:autoSpaceDE w:val="0"/>
        <w:autoSpaceDN w:val="0"/>
        <w:adjustRightInd w:val="0"/>
        <w:jc w:val="center"/>
        <w:rPr>
          <w:rFonts w:ascii="Avenir-Book" w:hAnsi="Avenir-Book" w:cs="Arial"/>
          <w:b/>
          <w:bCs/>
          <w:sz w:val="22"/>
          <w:szCs w:val="22"/>
          <w:highlight w:val="yellow"/>
          <w:lang w:eastAsia="es-MX"/>
        </w:rPr>
      </w:pPr>
      <w:r w:rsidRPr="00AD165E">
        <w:rPr>
          <w:rFonts w:ascii="Avenir-Book" w:hAnsi="Avenir-Book"/>
          <w:noProof/>
          <w:szCs w:val="22"/>
          <w:lang w:val="es-MX" w:eastAsia="es-MX"/>
        </w:rPr>
        <w:drawing>
          <wp:inline distT="0" distB="0" distL="0" distR="0">
            <wp:extent cx="5611495" cy="5581447"/>
            <wp:effectExtent l="19050" t="0" r="825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611495" cy="5581447"/>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AD3D58" w:rsidRPr="00AD165E" w:rsidRDefault="00E57D81" w:rsidP="00E57D81">
      <w:pPr>
        <w:autoSpaceDE w:val="0"/>
        <w:autoSpaceDN w:val="0"/>
        <w:adjustRightInd w:val="0"/>
        <w:jc w:val="center"/>
        <w:rPr>
          <w:rFonts w:ascii="Avenir-Book" w:hAnsi="Avenir-Book" w:cs="Arial"/>
          <w:b/>
          <w:bCs/>
          <w:sz w:val="22"/>
          <w:szCs w:val="22"/>
          <w:highlight w:val="yellow"/>
          <w:lang w:eastAsia="es-MX"/>
        </w:rPr>
      </w:pPr>
      <w:r w:rsidRPr="00AD165E">
        <w:rPr>
          <w:rFonts w:ascii="Avenir-Book" w:hAnsi="Avenir-Book"/>
          <w:noProof/>
          <w:szCs w:val="22"/>
          <w:lang w:val="es-MX" w:eastAsia="es-MX"/>
        </w:rPr>
        <w:drawing>
          <wp:inline distT="0" distB="0" distL="0" distR="0">
            <wp:extent cx="5611495" cy="3252714"/>
            <wp:effectExtent l="19050" t="0" r="8255"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611495" cy="3252714"/>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795F30" w:rsidRPr="00AD165E" w:rsidRDefault="00795F30" w:rsidP="00AD3D58">
      <w:pPr>
        <w:autoSpaceDE w:val="0"/>
        <w:autoSpaceDN w:val="0"/>
        <w:adjustRightInd w:val="0"/>
        <w:rPr>
          <w:rFonts w:ascii="Avenir-Book" w:hAnsi="Avenir-Book" w:cs="Arial"/>
          <w:b/>
          <w:bCs/>
          <w:sz w:val="22"/>
          <w:szCs w:val="22"/>
          <w:highlight w:val="yellow"/>
          <w:lang w:eastAsia="es-MX"/>
        </w:rPr>
      </w:pPr>
    </w:p>
    <w:p w:rsidR="00795F30" w:rsidRPr="00AD165E" w:rsidRDefault="00E57D81" w:rsidP="00AD3D58">
      <w:pPr>
        <w:autoSpaceDE w:val="0"/>
        <w:autoSpaceDN w:val="0"/>
        <w:adjustRightInd w:val="0"/>
        <w:rPr>
          <w:rFonts w:ascii="Avenir-Book" w:hAnsi="Avenir-Book" w:cs="Arial"/>
          <w:b/>
          <w:bCs/>
          <w:sz w:val="22"/>
          <w:szCs w:val="22"/>
          <w:highlight w:val="yellow"/>
          <w:lang w:eastAsia="es-MX"/>
        </w:rPr>
      </w:pPr>
      <w:r w:rsidRPr="00AD165E">
        <w:rPr>
          <w:rFonts w:ascii="Avenir-Book" w:hAnsi="Avenir-Book"/>
          <w:noProof/>
          <w:szCs w:val="22"/>
          <w:lang w:val="es-MX" w:eastAsia="es-MX"/>
        </w:rPr>
        <w:drawing>
          <wp:inline distT="0" distB="0" distL="0" distR="0">
            <wp:extent cx="5611495" cy="2381317"/>
            <wp:effectExtent l="19050" t="0" r="8255"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611495" cy="2381317"/>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E57D81">
      <w:pPr>
        <w:jc w:val="center"/>
        <w:rPr>
          <w:rFonts w:ascii="Avenir-Book" w:hAnsi="Avenir-Book" w:cs="Arial"/>
          <w:b/>
          <w:bCs/>
          <w:i/>
          <w:sz w:val="16"/>
          <w:szCs w:val="16"/>
          <w:lang w:eastAsia="es-MX"/>
        </w:rPr>
      </w:pPr>
    </w:p>
    <w:p w:rsidR="00E57D81" w:rsidRPr="00AD165E" w:rsidRDefault="00E57D81" w:rsidP="00E57D81">
      <w:pPr>
        <w:autoSpaceDE w:val="0"/>
        <w:autoSpaceDN w:val="0"/>
        <w:adjustRightInd w:val="0"/>
        <w:rPr>
          <w:rFonts w:ascii="Avenir-Book" w:hAnsi="Avenir-Book" w:cs="Arial"/>
          <w:b/>
          <w:bCs/>
          <w:sz w:val="22"/>
          <w:szCs w:val="22"/>
          <w:highlight w:val="yellow"/>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7617210"/>
            <wp:effectExtent l="19050" t="0" r="8255"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611495" cy="7617210"/>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5145748"/>
            <wp:effectExtent l="19050" t="0" r="8255"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5611495" cy="5145748"/>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5724176"/>
            <wp:effectExtent l="19050" t="0" r="8255"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5611495" cy="5724176"/>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1216951"/>
            <wp:effectExtent l="19050" t="0" r="8255"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5611495" cy="1216951"/>
                    </a:xfrm>
                    <a:prstGeom prst="rect">
                      <a:avLst/>
                    </a:prstGeom>
                    <a:noFill/>
                    <a:ln w="9525">
                      <a:noFill/>
                      <a:miter lim="800000"/>
                      <a:headEnd/>
                      <a:tailEnd/>
                    </a:ln>
                  </pic:spPr>
                </pic:pic>
              </a:graphicData>
            </a:graphic>
          </wp:inline>
        </w:drawing>
      </w:r>
    </w:p>
    <w:p w:rsidR="00E57D81" w:rsidRPr="00AD165E" w:rsidRDefault="00E57D81" w:rsidP="000B3C73">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5288477"/>
            <wp:effectExtent l="19050" t="0" r="8255" b="0"/>
            <wp:docPr id="2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5611495" cy="5288477"/>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6017145"/>
            <wp:effectExtent l="19050" t="0" r="8255" b="0"/>
            <wp:docPr id="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611495" cy="6017145"/>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2854576"/>
            <wp:effectExtent l="19050" t="0" r="8255" b="0"/>
            <wp:docPr id="2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611495" cy="2854576"/>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2959744"/>
            <wp:effectExtent l="19050" t="0" r="8255"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611495" cy="2959744"/>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2238588"/>
            <wp:effectExtent l="19050" t="0" r="8255" b="0"/>
            <wp:docPr id="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611495" cy="2238588"/>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7400925"/>
            <wp:effectExtent l="19050" t="0" r="8255"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611495" cy="7400925"/>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r w:rsidRPr="00AD165E">
        <w:rPr>
          <w:rFonts w:ascii="Avenir-Book" w:hAnsi="Avenir-Book" w:cs="Arial"/>
          <w:b/>
          <w:bCs/>
          <w:sz w:val="22"/>
          <w:szCs w:val="22"/>
          <w:lang w:eastAsia="es-MX"/>
        </w:rPr>
        <w:t xml:space="preserve"> </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4672490"/>
            <wp:effectExtent l="19050" t="0" r="8255" b="0"/>
            <wp:docPr id="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611495" cy="4672490"/>
                    </a:xfrm>
                    <a:prstGeom prst="rect">
                      <a:avLst/>
                    </a:prstGeom>
                    <a:noFill/>
                    <a:ln w="9525">
                      <a:noFill/>
                      <a:miter lim="800000"/>
                      <a:headEnd/>
                      <a:tailEnd/>
                    </a:ln>
                  </pic:spPr>
                </pic:pic>
              </a:graphicData>
            </a:graphic>
          </wp:inline>
        </w:drawing>
      </w:r>
    </w:p>
    <w:p w:rsidR="002D28BA" w:rsidRPr="00AD165E" w:rsidRDefault="002D28BA" w:rsidP="000B3C73">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i/>
          <w:sz w:val="16"/>
          <w:szCs w:val="16"/>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3252714"/>
            <wp:effectExtent l="19050" t="0" r="8255" b="0"/>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611495" cy="3252714"/>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5145748"/>
            <wp:effectExtent l="19050" t="0" r="8255" b="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5611495" cy="5145748"/>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3545684"/>
            <wp:effectExtent l="19050" t="0" r="8255"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11495" cy="3545684"/>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2674287"/>
            <wp:effectExtent l="19050" t="0" r="8255" b="0"/>
            <wp:docPr id="3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5611495" cy="2674287"/>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74EC2"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1423477"/>
            <wp:effectExtent l="19050" t="0" r="8255"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11495" cy="1423477"/>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74EC2" w:rsidRPr="00AD165E" w:rsidRDefault="00274EC2"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4274352"/>
            <wp:effectExtent l="19050" t="0" r="8255" b="0"/>
            <wp:docPr id="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5611495" cy="4274352"/>
                    </a:xfrm>
                    <a:prstGeom prst="rect">
                      <a:avLst/>
                    </a:prstGeom>
                    <a:noFill/>
                    <a:ln w="9525">
                      <a:noFill/>
                      <a:miter lim="800000"/>
                      <a:headEnd/>
                      <a:tailEnd/>
                    </a:ln>
                  </pic:spPr>
                </pic:pic>
              </a:graphicData>
            </a:graphic>
          </wp:inline>
        </w:drawing>
      </w:r>
    </w:p>
    <w:p w:rsidR="00274EC2" w:rsidRPr="00AD165E" w:rsidRDefault="00274EC2" w:rsidP="00274EC2">
      <w:pPr>
        <w:rPr>
          <w:rFonts w:ascii="Avenir-Book" w:hAnsi="Avenir-Book" w:cs="Arial"/>
          <w:sz w:val="22"/>
          <w:szCs w:val="22"/>
          <w:lang w:eastAsia="es-MX"/>
        </w:rPr>
      </w:pPr>
    </w:p>
    <w:p w:rsidR="002D28BA" w:rsidRPr="00AD165E" w:rsidRDefault="00274EC2" w:rsidP="00274EC2">
      <w:pPr>
        <w:tabs>
          <w:tab w:val="left" w:pos="3810"/>
        </w:tabs>
        <w:jc w:val="center"/>
        <w:rPr>
          <w:rFonts w:ascii="Avenir-Book" w:hAnsi="Avenir-Book" w:cs="Arial"/>
          <w:sz w:val="22"/>
          <w:szCs w:val="22"/>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3252714"/>
            <wp:effectExtent l="19050" t="0" r="8255" b="0"/>
            <wp:docPr id="3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611495" cy="3252714"/>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noProof/>
          <w:szCs w:val="22"/>
          <w:lang w:val="es-MX" w:eastAsia="es-MX"/>
        </w:rPr>
        <w:drawing>
          <wp:inline distT="0" distB="0" distL="0" distR="0">
            <wp:extent cx="5611495" cy="4274352"/>
            <wp:effectExtent l="19050" t="0" r="8255" b="0"/>
            <wp:docPr id="3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5611495" cy="4274352"/>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noProof/>
          <w:szCs w:val="22"/>
          <w:lang w:val="es-MX" w:eastAsia="es-MX"/>
        </w:rPr>
        <w:drawing>
          <wp:inline distT="0" distB="0" distL="0" distR="0">
            <wp:extent cx="5611495" cy="1652649"/>
            <wp:effectExtent l="19050" t="0" r="8255" b="0"/>
            <wp:docPr id="3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5611495" cy="1652649"/>
                    </a:xfrm>
                    <a:prstGeom prst="rect">
                      <a:avLst/>
                    </a:prstGeom>
                    <a:noFill/>
                    <a:ln w="9525">
                      <a:noFill/>
                      <a:miter lim="800000"/>
                      <a:headEnd/>
                      <a:tailEnd/>
                    </a:ln>
                  </pic:spPr>
                </pic:pic>
              </a:graphicData>
            </a:graphic>
          </wp:inline>
        </w:drawing>
      </w: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r w:rsidRPr="00AD165E">
        <w:rPr>
          <w:rFonts w:ascii="Avenir-Book" w:hAnsi="Avenir-Book" w:cs="Arial"/>
          <w:b/>
          <w:bCs/>
          <w:sz w:val="22"/>
          <w:szCs w:val="22"/>
          <w:lang w:eastAsia="es-MX"/>
        </w:rPr>
        <w:t xml:space="preserve"> </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Default="002D28BA" w:rsidP="000B3C73">
      <w:pPr>
        <w:autoSpaceDE w:val="0"/>
        <w:autoSpaceDN w:val="0"/>
        <w:adjustRightInd w:val="0"/>
        <w:jc w:val="center"/>
        <w:rPr>
          <w:rFonts w:ascii="Avenir-Book" w:hAnsi="Avenir-Book" w:cs="Arial"/>
          <w:b/>
          <w:bCs/>
          <w:sz w:val="22"/>
          <w:szCs w:val="22"/>
          <w:lang w:eastAsia="es-MX"/>
        </w:rPr>
      </w:pPr>
    </w:p>
    <w:p w:rsidR="002174E1" w:rsidRDefault="002174E1" w:rsidP="000B3C73">
      <w:pPr>
        <w:autoSpaceDE w:val="0"/>
        <w:autoSpaceDN w:val="0"/>
        <w:adjustRightInd w:val="0"/>
        <w:jc w:val="center"/>
        <w:rPr>
          <w:rFonts w:ascii="Avenir-Book" w:hAnsi="Avenir-Book" w:cs="Arial"/>
          <w:b/>
          <w:bCs/>
          <w:sz w:val="22"/>
          <w:szCs w:val="22"/>
          <w:lang w:eastAsia="es-MX"/>
        </w:rPr>
      </w:pPr>
    </w:p>
    <w:p w:rsidR="002174E1" w:rsidRPr="00AD165E" w:rsidRDefault="002174E1"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TÍTULO TERCERO</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LAS ASIGNACIONES DEL PRESUPUESTO DE EGRESOS DEL MUNICIPIO</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LOS SERVICIOS PERSONALES</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22</w:t>
      </w:r>
      <w:r w:rsidR="000B3C73" w:rsidRPr="00AD165E">
        <w:rPr>
          <w:rFonts w:ascii="Avenir-Book" w:hAnsi="Avenir-Book" w:cs="Arial"/>
          <w:b/>
          <w:sz w:val="22"/>
          <w:szCs w:val="22"/>
        </w:rPr>
        <w:t>.-</w:t>
      </w:r>
      <w:r w:rsidR="000B3C73" w:rsidRPr="00AD165E">
        <w:rPr>
          <w:rFonts w:ascii="Avenir-Book" w:hAnsi="Avenir-Book" w:cs="Arial"/>
          <w:sz w:val="22"/>
          <w:szCs w:val="22"/>
        </w:rPr>
        <w:t>Para dar cumplimiento al ar</w:t>
      </w:r>
      <w:r w:rsidR="000B3C73" w:rsidRPr="00AD165E">
        <w:rPr>
          <w:rFonts w:ascii="Avenir-Book" w:hAnsi="Avenir-Book" w:cs="Arial"/>
          <w:sz w:val="22"/>
          <w:szCs w:val="22"/>
          <w:lang w:eastAsia="es-MX"/>
        </w:rPr>
        <w:t xml:space="preserve">tículo 61 fracción II de la Ley General de Contabilidad Gubernamental, la plantilla de </w:t>
      </w:r>
      <w:r w:rsidR="000B3C73" w:rsidRPr="00AD165E">
        <w:rPr>
          <w:rFonts w:ascii="Avenir-Book" w:hAnsi="Avenir-Book" w:cs="Arial"/>
          <w:sz w:val="22"/>
          <w:szCs w:val="22"/>
        </w:rPr>
        <w:t>la Administración Pública Mu</w:t>
      </w:r>
      <w:r w:rsidR="00025BDF" w:rsidRPr="00AD165E">
        <w:rPr>
          <w:rFonts w:ascii="Avenir-Book" w:hAnsi="Avenir-Book" w:cs="Arial"/>
          <w:sz w:val="22"/>
          <w:szCs w:val="22"/>
        </w:rPr>
        <w:t>nicipal centralizada, incluye 6707</w:t>
      </w:r>
      <w:r w:rsidR="004B43F3" w:rsidRPr="00AD165E">
        <w:rPr>
          <w:rFonts w:ascii="Avenir-Book" w:hAnsi="Avenir-Book" w:cs="Arial"/>
          <w:sz w:val="22"/>
          <w:szCs w:val="22"/>
        </w:rPr>
        <w:t xml:space="preserve"> </w:t>
      </w:r>
      <w:r w:rsidR="000B3C73" w:rsidRPr="00AD165E">
        <w:rPr>
          <w:rFonts w:ascii="Avenir-Book" w:hAnsi="Avenir-Book" w:cs="Arial"/>
          <w:sz w:val="22"/>
          <w:szCs w:val="22"/>
        </w:rPr>
        <w:t xml:space="preserve">plazas para el ejercicio 2019 y </w:t>
      </w:r>
      <w:r w:rsidR="000B3C73" w:rsidRPr="00AD165E">
        <w:rPr>
          <w:rFonts w:ascii="Avenir-Book" w:hAnsi="Avenir-Book" w:cs="Arial"/>
          <w:sz w:val="22"/>
          <w:szCs w:val="22"/>
          <w:lang w:eastAsia="es-MX"/>
        </w:rPr>
        <w:t xml:space="preserve">se describe a través del </w:t>
      </w:r>
      <w:r w:rsidR="000B3C73" w:rsidRPr="00AD165E">
        <w:rPr>
          <w:rFonts w:ascii="Avenir-Book" w:hAnsi="Avenir-Book" w:cs="Arial"/>
          <w:b/>
          <w:i/>
          <w:sz w:val="22"/>
          <w:szCs w:val="22"/>
        </w:rPr>
        <w:t>C</w:t>
      </w:r>
      <w:r w:rsidR="00A532EA" w:rsidRPr="00AD165E">
        <w:rPr>
          <w:rFonts w:ascii="Avenir-Book" w:hAnsi="Avenir-Book" w:cs="Arial"/>
          <w:b/>
          <w:i/>
          <w:sz w:val="22"/>
          <w:szCs w:val="22"/>
        </w:rPr>
        <w:t>uadro 27</w:t>
      </w:r>
      <w:r w:rsidR="000B3C73"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lang w:eastAsia="es-MX"/>
        </w:rPr>
        <w:t>.</w:t>
      </w:r>
    </w:p>
    <w:p w:rsidR="000B3C73" w:rsidRPr="00AD165E" w:rsidRDefault="000B3C73" w:rsidP="000B3C73">
      <w:pPr>
        <w:pStyle w:val="Default"/>
        <w:spacing w:line="276" w:lineRule="auto"/>
        <w:jc w:val="both"/>
        <w:rPr>
          <w:rFonts w:ascii="Avenir-Book" w:hAnsi="Avenir-Book" w:cs="Arial"/>
          <w:b/>
          <w:color w:val="auto"/>
          <w:sz w:val="22"/>
          <w:szCs w:val="22"/>
          <w:lang w:val="es-MX" w:eastAsia="es-MX"/>
        </w:rPr>
      </w:pPr>
    </w:p>
    <w:p w:rsidR="000B3C73" w:rsidRPr="00AD165E" w:rsidRDefault="00CA5E2C" w:rsidP="000B3C73">
      <w:pPr>
        <w:pStyle w:val="Default"/>
        <w:spacing w:line="276" w:lineRule="auto"/>
        <w:jc w:val="both"/>
        <w:rPr>
          <w:rFonts w:ascii="Avenir-Book" w:hAnsi="Avenir-Book" w:cs="Arial"/>
          <w:color w:val="auto"/>
          <w:sz w:val="22"/>
          <w:szCs w:val="22"/>
        </w:rPr>
      </w:pPr>
      <w:r w:rsidRPr="00AD165E">
        <w:rPr>
          <w:rFonts w:ascii="Avenir-Book" w:hAnsi="Avenir-Book" w:cs="Arial"/>
          <w:b/>
          <w:color w:val="auto"/>
          <w:sz w:val="22"/>
          <w:szCs w:val="22"/>
        </w:rPr>
        <w:t>Artículo 23</w:t>
      </w:r>
      <w:r w:rsidR="000B3C73" w:rsidRPr="00AD165E">
        <w:rPr>
          <w:rFonts w:ascii="Avenir-Book" w:hAnsi="Avenir-Book" w:cs="Arial"/>
          <w:b/>
          <w:color w:val="auto"/>
          <w:sz w:val="22"/>
          <w:szCs w:val="22"/>
        </w:rPr>
        <w:t xml:space="preserve">.- </w:t>
      </w:r>
      <w:r w:rsidR="000B3C73" w:rsidRPr="00AD165E">
        <w:rPr>
          <w:rFonts w:ascii="Avenir-Book" w:hAnsi="Avenir-Book" w:cs="Arial"/>
          <w:color w:val="auto"/>
          <w:sz w:val="22"/>
          <w:szCs w:val="22"/>
        </w:rPr>
        <w:t xml:space="preserve">El número de elementos de la plantilla de policías </w:t>
      </w:r>
      <w:r w:rsidR="00792246" w:rsidRPr="00AD165E">
        <w:rPr>
          <w:rFonts w:ascii="Avenir-Book" w:hAnsi="Avenir-Book" w:cs="Arial"/>
          <w:color w:val="auto"/>
          <w:sz w:val="22"/>
          <w:szCs w:val="22"/>
        </w:rPr>
        <w:t>para el año 2019 es de 2510</w:t>
      </w:r>
      <w:r w:rsidR="000B3C73" w:rsidRPr="00AD165E">
        <w:rPr>
          <w:rFonts w:ascii="Avenir-Book" w:hAnsi="Avenir-Book" w:cs="Arial"/>
          <w:color w:val="auto"/>
          <w:sz w:val="22"/>
          <w:szCs w:val="22"/>
        </w:rPr>
        <w:t xml:space="preserve">. Actualmente no se cuenta con personal comisionado por el Gobierno del </w:t>
      </w:r>
      <w:r w:rsidR="002174E1" w:rsidRPr="00AD165E">
        <w:rPr>
          <w:rFonts w:ascii="Avenir-Book" w:hAnsi="Avenir-Book" w:cs="Arial"/>
          <w:color w:val="auto"/>
          <w:sz w:val="22"/>
          <w:szCs w:val="22"/>
        </w:rPr>
        <w:t>Estado únicamente</w:t>
      </w:r>
      <w:r w:rsidR="00D61AFD" w:rsidRPr="00AD165E">
        <w:rPr>
          <w:rFonts w:ascii="Avenir-Book" w:hAnsi="Avenir-Book" w:cs="Arial"/>
          <w:color w:val="auto"/>
          <w:sz w:val="22"/>
          <w:szCs w:val="22"/>
        </w:rPr>
        <w:t xml:space="preserve"> se tiene personal de confianza en las plazas de policías e incluye los 420 elementos de seguridad pública que se darán de alta durante el presente ejercicio fiscal. </w:t>
      </w:r>
    </w:p>
    <w:p w:rsidR="000B3C73" w:rsidRPr="00AD165E" w:rsidRDefault="000B3C73" w:rsidP="000B3C73">
      <w:pPr>
        <w:pStyle w:val="Default"/>
        <w:spacing w:line="276" w:lineRule="auto"/>
        <w:jc w:val="both"/>
        <w:rPr>
          <w:rFonts w:ascii="Avenir-Book" w:hAnsi="Avenir-Book" w:cs="Arial"/>
          <w:color w:val="auto"/>
          <w:sz w:val="22"/>
          <w:szCs w:val="22"/>
        </w:rPr>
      </w:pPr>
    </w:p>
    <w:p w:rsidR="000B3C73" w:rsidRPr="00AD165E" w:rsidRDefault="000B3C73" w:rsidP="000B3C73">
      <w:pPr>
        <w:pStyle w:val="Sinespaciado"/>
        <w:jc w:val="both"/>
        <w:rPr>
          <w:rFonts w:ascii="Avenir-Book" w:hAnsi="Avenir-Book" w:cs="Arial"/>
          <w:lang w:val="es-ES"/>
        </w:rPr>
      </w:pPr>
      <w:r w:rsidRPr="00AD165E">
        <w:rPr>
          <w:rFonts w:ascii="Avenir-Book" w:hAnsi="Avenir-Book" w:cs="Arial"/>
          <w:lang w:val="es-ES"/>
        </w:rPr>
        <w:t>Es importante puntualizar que con fundamento en lo establecido en el Artículo 9 de la Ley de Trabajadores al Servicio del Ayuntamiento, la Secretaría de Seguridad Pública y Tránsito Municipal de Puebla, únicamente tiene personal de confianza en las plazas de policía.</w:t>
      </w:r>
    </w:p>
    <w:p w:rsidR="00041F46" w:rsidRPr="00AD165E" w:rsidRDefault="00041F46" w:rsidP="000B3C73">
      <w:pPr>
        <w:jc w:val="both"/>
        <w:rPr>
          <w:rFonts w:ascii="Avenir-Book" w:hAnsi="Avenir-Book" w:cs="Arial"/>
          <w:b/>
          <w:sz w:val="22"/>
          <w:szCs w:val="22"/>
          <w:highlight w:val="yellow"/>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24</w:t>
      </w:r>
      <w:r w:rsidR="000B3C73" w:rsidRPr="00AD165E">
        <w:rPr>
          <w:rFonts w:ascii="Avenir-Book" w:hAnsi="Avenir-Book" w:cs="Arial"/>
          <w:b/>
          <w:sz w:val="22"/>
          <w:szCs w:val="22"/>
        </w:rPr>
        <w:t xml:space="preserve">.- </w:t>
      </w:r>
      <w:r w:rsidR="000B3C73" w:rsidRPr="00AD165E">
        <w:rPr>
          <w:rFonts w:ascii="Avenir-Book" w:hAnsi="Avenir-Book" w:cs="Arial"/>
          <w:sz w:val="22"/>
          <w:szCs w:val="22"/>
        </w:rPr>
        <w:t>Los servidores p</w:t>
      </w:r>
      <w:r w:rsidR="00AE0A4D" w:rsidRPr="00AD165E">
        <w:rPr>
          <w:rFonts w:ascii="Avenir-Book" w:hAnsi="Avenir-Book" w:cs="Arial"/>
          <w:sz w:val="22"/>
          <w:szCs w:val="22"/>
        </w:rPr>
        <w:t>úblicos ocupantes de las plazas</w:t>
      </w:r>
      <w:r w:rsidR="000B3C73" w:rsidRPr="00AD165E">
        <w:rPr>
          <w:rFonts w:ascii="Avenir-Book" w:hAnsi="Avenir-Book" w:cs="Arial"/>
          <w:sz w:val="22"/>
          <w:szCs w:val="22"/>
        </w:rPr>
        <w:t xml:space="preserve"> percibirán las remuneraciones que se determinan en el Tabulador Salarial</w:t>
      </w:r>
      <w:r w:rsidR="00A532EA" w:rsidRPr="00AD165E">
        <w:rPr>
          <w:rFonts w:ascii="Avenir-Book" w:hAnsi="Avenir-Book" w:cs="Arial"/>
          <w:sz w:val="22"/>
          <w:szCs w:val="22"/>
        </w:rPr>
        <w:t xml:space="preserve"> del personal de confianza</w:t>
      </w:r>
      <w:r w:rsidR="000B3C73" w:rsidRPr="00AD165E">
        <w:rPr>
          <w:rFonts w:ascii="Avenir-Book" w:hAnsi="Avenir-Book" w:cs="Arial"/>
          <w:sz w:val="22"/>
          <w:szCs w:val="22"/>
        </w:rPr>
        <w:t xml:space="preserve">, el cual incluye al personal de Seguridad Pública Municipal y se integra en el </w:t>
      </w:r>
      <w:r w:rsidR="000B3C73" w:rsidRPr="00AD165E">
        <w:rPr>
          <w:rFonts w:ascii="Avenir-Book" w:hAnsi="Avenir-Book" w:cs="Arial"/>
          <w:b/>
          <w:sz w:val="22"/>
          <w:szCs w:val="22"/>
        </w:rPr>
        <w:t>C</w:t>
      </w:r>
      <w:r w:rsidR="00A532EA" w:rsidRPr="00AD165E">
        <w:rPr>
          <w:rFonts w:ascii="Avenir-Book" w:hAnsi="Avenir-Book" w:cs="Arial"/>
          <w:b/>
          <w:i/>
          <w:sz w:val="22"/>
          <w:szCs w:val="22"/>
        </w:rPr>
        <w:t xml:space="preserve">uadro 28 </w:t>
      </w:r>
      <w:r w:rsidR="000B3C73"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rPr>
        <w:t>, con base en lo establecido en los artículos 115, fracción IV y 127, de la Constitución Política de los Estados Unidos Mexicanos; 103 y 134, de la Constitución Política del Estado Libre y Soberano de Puebla.</w:t>
      </w:r>
    </w:p>
    <w:p w:rsidR="000B3C73" w:rsidRPr="00AD165E" w:rsidRDefault="000B3C73" w:rsidP="000B3C73">
      <w:pPr>
        <w:jc w:val="both"/>
        <w:rPr>
          <w:rFonts w:ascii="Avenir-Book" w:hAnsi="Avenir-Book" w:cs="Arial"/>
          <w:sz w:val="22"/>
          <w:szCs w:val="22"/>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Cs/>
        </w:rPr>
      </w:pPr>
      <w:r w:rsidRPr="00AD165E">
        <w:rPr>
          <w:rFonts w:ascii="Avenir-Book" w:hAnsi="Avenir-Book" w:cs="Arial"/>
          <w:bCs/>
        </w:rPr>
        <w:t>Se establece que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 de confianza.</w:t>
      </w:r>
    </w:p>
    <w:p w:rsidR="000B3C73" w:rsidRPr="00AD165E" w:rsidRDefault="000B3C73" w:rsidP="000B3C73">
      <w:pPr>
        <w:jc w:val="both"/>
        <w:rPr>
          <w:rFonts w:ascii="Avenir-Book" w:hAnsi="Avenir-Book" w:cs="Arial"/>
          <w:sz w:val="22"/>
          <w:szCs w:val="22"/>
        </w:rPr>
      </w:pPr>
    </w:p>
    <w:p w:rsidR="004D0472" w:rsidRDefault="000B3C73" w:rsidP="000B3C73">
      <w:pPr>
        <w:jc w:val="both"/>
        <w:rPr>
          <w:rFonts w:ascii="Avenir-Book" w:hAnsi="Avenir-Book" w:cs="Arial"/>
          <w:sz w:val="22"/>
          <w:szCs w:val="22"/>
        </w:rPr>
      </w:pPr>
      <w:r w:rsidRPr="00AD165E">
        <w:rPr>
          <w:rFonts w:ascii="Avenir-Book" w:hAnsi="Avenir-Book" w:cs="Arial"/>
          <w:sz w:val="22"/>
          <w:szCs w:val="22"/>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rsidR="000B3C73" w:rsidRPr="00AD165E" w:rsidRDefault="00CA5E2C" w:rsidP="000B3C73">
      <w:pPr>
        <w:jc w:val="both"/>
        <w:rPr>
          <w:rFonts w:ascii="Avenir-Book" w:hAnsi="Avenir-Book" w:cs="Arial"/>
          <w:b/>
          <w:color w:val="000000"/>
          <w:sz w:val="22"/>
          <w:szCs w:val="22"/>
        </w:rPr>
      </w:pPr>
      <w:r w:rsidRPr="00AD165E">
        <w:rPr>
          <w:rFonts w:ascii="Avenir-Book" w:hAnsi="Avenir-Book" w:cs="Arial"/>
          <w:b/>
          <w:color w:val="000000"/>
          <w:sz w:val="22"/>
          <w:szCs w:val="22"/>
        </w:rPr>
        <w:t>Artículo 25</w:t>
      </w:r>
      <w:r w:rsidR="000B3C73" w:rsidRPr="00AD165E">
        <w:rPr>
          <w:rFonts w:ascii="Avenir-Book" w:hAnsi="Avenir-Book" w:cs="Arial"/>
          <w:b/>
          <w:color w:val="000000"/>
          <w:sz w:val="22"/>
          <w:szCs w:val="22"/>
        </w:rPr>
        <w:t>.-</w:t>
      </w:r>
      <w:r w:rsidR="000B3C73" w:rsidRPr="00AD165E">
        <w:rPr>
          <w:rFonts w:ascii="Avenir-Book" w:hAnsi="Avenir-Book" w:cs="Arial"/>
          <w:color w:val="000000"/>
          <w:sz w:val="22"/>
          <w:szCs w:val="22"/>
        </w:rPr>
        <w:t xml:space="preserve"> Para el establecimiento y determinación de </w:t>
      </w:r>
      <w:r w:rsidR="000B3C73" w:rsidRPr="00AD165E">
        <w:rPr>
          <w:rFonts w:ascii="Avenir-Book" w:hAnsi="Avenir-Book" w:cs="Arial"/>
          <w:b/>
          <w:color w:val="000000"/>
          <w:sz w:val="22"/>
          <w:szCs w:val="22"/>
        </w:rPr>
        <w:t>criterios que regulen los incrementos salariales</w:t>
      </w:r>
      <w:r w:rsidR="000B3C73" w:rsidRPr="00AD165E">
        <w:rPr>
          <w:rFonts w:ascii="Avenir-Book" w:hAnsi="Avenir-Book" w:cs="Arial"/>
          <w:color w:val="000000"/>
          <w:sz w:val="22"/>
          <w:szCs w:val="22"/>
        </w:rPr>
        <w:t>, la Tesorería Municipal se sujetará a lo previsto en las normas y lineamientos en materia de administraci</w:t>
      </w:r>
      <w:r w:rsidR="000B3C73" w:rsidRPr="00AD165E">
        <w:rPr>
          <w:rFonts w:ascii="Avenir-Book" w:hAnsi="Avenir-Book" w:cs="Avenir-Book"/>
          <w:color w:val="000000"/>
          <w:sz w:val="22"/>
          <w:szCs w:val="22"/>
        </w:rPr>
        <w:t>ó</w:t>
      </w:r>
      <w:r w:rsidR="000B3C73" w:rsidRPr="00AD165E">
        <w:rPr>
          <w:rFonts w:ascii="Avenir-Book" w:hAnsi="Avenir-Book" w:cs="Arial"/>
          <w:color w:val="000000"/>
          <w:sz w:val="22"/>
          <w:szCs w:val="22"/>
        </w:rPr>
        <w:t>n, remuneraciones y desarrollo del personal, y cualquier otra incidencia que modifique la relaci</w:t>
      </w:r>
      <w:r w:rsidR="000B3C73" w:rsidRPr="00AD165E">
        <w:rPr>
          <w:rFonts w:ascii="Avenir-Book" w:hAnsi="Avenir-Book" w:cs="Avenir-Book"/>
          <w:color w:val="000000"/>
          <w:sz w:val="22"/>
          <w:szCs w:val="22"/>
        </w:rPr>
        <w:t>ó</w:t>
      </w:r>
      <w:r w:rsidR="000B3C73" w:rsidRPr="00AD165E">
        <w:rPr>
          <w:rFonts w:ascii="Avenir-Book" w:hAnsi="Avenir-Book" w:cs="Arial"/>
          <w:color w:val="000000"/>
          <w:sz w:val="22"/>
          <w:szCs w:val="22"/>
        </w:rPr>
        <w:t>n jur</w:t>
      </w:r>
      <w:r w:rsidR="000B3C73" w:rsidRPr="00AD165E">
        <w:rPr>
          <w:rFonts w:ascii="Avenir-Book" w:hAnsi="Avenir-Book" w:cs="Avenir-Book"/>
          <w:color w:val="000000"/>
          <w:sz w:val="22"/>
          <w:szCs w:val="22"/>
        </w:rPr>
        <w:t>í</w:t>
      </w:r>
      <w:r w:rsidR="000B3C73" w:rsidRPr="00AD165E">
        <w:rPr>
          <w:rFonts w:ascii="Avenir-Book" w:hAnsi="Avenir-Book" w:cs="Arial"/>
          <w:color w:val="000000"/>
          <w:sz w:val="22"/>
          <w:szCs w:val="22"/>
        </w:rPr>
        <w:t>dico-laboral entre el Municipio y sus servidores públicos, incluyendo el control y elaboración de la nómina del personal del Gobierno Municipal.</w:t>
      </w:r>
    </w:p>
    <w:p w:rsidR="000B3C73" w:rsidRPr="00AD165E" w:rsidRDefault="000B3C73" w:rsidP="000B3C73">
      <w:pPr>
        <w:jc w:val="both"/>
        <w:rPr>
          <w:rFonts w:ascii="Avenir-Book" w:hAnsi="Avenir-Book" w:cs="Arial"/>
          <w:color w:val="000000"/>
          <w:sz w:val="22"/>
          <w:szCs w:val="22"/>
        </w:rPr>
      </w:pPr>
    </w:p>
    <w:p w:rsidR="000B3C73" w:rsidRPr="00AD165E" w:rsidRDefault="000B3C73" w:rsidP="000B3C73">
      <w:pPr>
        <w:jc w:val="both"/>
        <w:rPr>
          <w:rFonts w:ascii="Avenir-Book" w:hAnsi="Avenir-Book" w:cs="Arial"/>
          <w:color w:val="000000"/>
          <w:sz w:val="22"/>
          <w:szCs w:val="22"/>
        </w:rPr>
      </w:pPr>
      <w:r w:rsidRPr="00AD165E">
        <w:rPr>
          <w:rFonts w:ascii="Avenir-Book" w:hAnsi="Avenir-Book" w:cs="Arial"/>
          <w:color w:val="000000"/>
          <w:sz w:val="22"/>
          <w:szCs w:val="22"/>
        </w:rPr>
        <w:t>Las Entidades públicas y los sindicatos establecerán conjuntamente los criterios y los períodos para revisar las prestaciones que disfruten los trabajadores. Las condiciones generales de trabajo de cada Entidad pública deberán ser consultadas a la Tesorería Municipal.</w:t>
      </w:r>
    </w:p>
    <w:p w:rsidR="001B3004" w:rsidRPr="00AD165E" w:rsidRDefault="001B3004" w:rsidP="000B3C73">
      <w:pPr>
        <w:jc w:val="both"/>
        <w:rPr>
          <w:rFonts w:ascii="Avenir-Book" w:hAnsi="Avenir-Book" w:cs="Arial"/>
          <w:color w:val="000000"/>
          <w:sz w:val="22"/>
          <w:szCs w:val="22"/>
        </w:rPr>
      </w:pPr>
    </w:p>
    <w:p w:rsidR="000B3C73" w:rsidRPr="00AD165E" w:rsidRDefault="000B3C73" w:rsidP="003F6B6A">
      <w:pPr>
        <w:jc w:val="both"/>
        <w:rPr>
          <w:rFonts w:ascii="Avenir-Book" w:hAnsi="Avenir-Book" w:cs="Arial"/>
          <w:color w:val="000000"/>
          <w:sz w:val="22"/>
          <w:szCs w:val="22"/>
        </w:rPr>
      </w:pPr>
      <w:r w:rsidRPr="00AD165E">
        <w:rPr>
          <w:rFonts w:ascii="Avenir-Book" w:hAnsi="Avenir-Book" w:cs="Arial"/>
          <w:color w:val="000000"/>
          <w:sz w:val="22"/>
          <w:szCs w:val="22"/>
        </w:rPr>
        <w:t>El presupuesto de remuneraciones estará en función a la plantilla de personal autorizada y las economías que se generen no estarán sujetas a consideraciones para su ejercicio.</w:t>
      </w:r>
    </w:p>
    <w:p w:rsidR="00A532EA" w:rsidRPr="00AD165E" w:rsidRDefault="00A532EA" w:rsidP="00E11AA8">
      <w:pPr>
        <w:jc w:val="both"/>
        <w:rPr>
          <w:rFonts w:ascii="Avenir-Book" w:hAnsi="Avenir-Book" w:cs="Arial"/>
          <w:b/>
          <w:sz w:val="22"/>
          <w:szCs w:val="22"/>
        </w:rPr>
      </w:pPr>
    </w:p>
    <w:p w:rsidR="000B3C73" w:rsidRPr="00AD165E" w:rsidRDefault="00CA5E2C" w:rsidP="00E11AA8">
      <w:pPr>
        <w:jc w:val="both"/>
        <w:rPr>
          <w:rFonts w:ascii="Avenir-Book" w:hAnsi="Avenir-Book" w:cs="Arial"/>
          <w:sz w:val="22"/>
          <w:szCs w:val="22"/>
          <w:lang w:eastAsia="es-MX"/>
        </w:rPr>
      </w:pPr>
      <w:r w:rsidRPr="00AD165E">
        <w:rPr>
          <w:rFonts w:ascii="Avenir-Book" w:hAnsi="Avenir-Book" w:cs="Arial"/>
          <w:b/>
          <w:sz w:val="22"/>
          <w:szCs w:val="22"/>
        </w:rPr>
        <w:t>Artículo 26</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gasto previsto para prestaciones sindicales, ampara la cantidad de $4’090,000.00, </w:t>
      </w:r>
      <w:r w:rsidR="000B3C73" w:rsidRPr="00AD165E">
        <w:rPr>
          <w:rFonts w:ascii="Avenir-Book" w:hAnsi="Avenir-Book" w:cs="Arial"/>
          <w:sz w:val="22"/>
          <w:szCs w:val="22"/>
          <w:lang w:eastAsia="es-MX"/>
        </w:rPr>
        <w:t xml:space="preserve">con la finalidad de identificarlas se describen en los </w:t>
      </w:r>
      <w:r w:rsidR="000B3C73" w:rsidRPr="00AD165E">
        <w:rPr>
          <w:rFonts w:ascii="Avenir-Book" w:hAnsi="Avenir-Book" w:cs="Arial"/>
          <w:b/>
          <w:sz w:val="22"/>
          <w:szCs w:val="22"/>
        </w:rPr>
        <w:t>C</w:t>
      </w:r>
      <w:r w:rsidR="00A532EA" w:rsidRPr="00AD165E">
        <w:rPr>
          <w:rFonts w:ascii="Avenir-Book" w:hAnsi="Avenir-Book" w:cs="Arial"/>
          <w:b/>
          <w:i/>
          <w:sz w:val="22"/>
          <w:szCs w:val="22"/>
        </w:rPr>
        <w:t>uadros 29 y 30</w:t>
      </w:r>
      <w:r w:rsidR="000B3C73"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 </w:t>
      </w:r>
      <w:r w:rsidR="000B3C73" w:rsidRPr="00AD165E">
        <w:rPr>
          <w:rFonts w:ascii="Avenir-Book" w:hAnsi="Avenir-Book" w:cs="Arial"/>
          <w:sz w:val="22"/>
          <w:szCs w:val="22"/>
          <w:lang w:eastAsia="es-MX"/>
        </w:rPr>
        <w:t>integrado con base en las Condiciones Generales de Trabajo del Municipio de Puebla.</w:t>
      </w:r>
    </w:p>
    <w:p w:rsidR="006A63AE" w:rsidRPr="00AD165E" w:rsidRDefault="006A63AE"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LOS MONTOS MÁXIMOS Y MÍNIMOS PARA LA ADJUDICACIÓN</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ADQUISICIONES, ARRENDAMIENTOS Y PRESTACIONES DE SERVICIOS</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27</w:t>
      </w:r>
      <w:r w:rsidR="000B3C73" w:rsidRPr="00AD165E">
        <w:rPr>
          <w:rFonts w:ascii="Avenir-Book" w:hAnsi="Avenir-Book" w:cs="Arial"/>
          <w:b/>
          <w:sz w:val="22"/>
          <w:szCs w:val="22"/>
        </w:rPr>
        <w:t>.</w:t>
      </w:r>
      <w:r w:rsidR="000B3C73" w:rsidRPr="00AD165E">
        <w:rPr>
          <w:rFonts w:ascii="Avenir-Book" w:hAnsi="Avenir-Book" w:cs="Arial"/>
          <w:sz w:val="22"/>
          <w:szCs w:val="22"/>
        </w:rPr>
        <w:t xml:space="preserve">- Bajo el marco de la Ley de Adquisiciones, Arrendamientos y Servicios del Sector Público Estatal y Municipal, que </w:t>
      </w:r>
      <w:r w:rsidR="00DE7B0F" w:rsidRPr="00AD165E">
        <w:rPr>
          <w:rFonts w:ascii="Avenir-Book" w:hAnsi="Avenir-Book" w:cs="Arial"/>
          <w:sz w:val="22"/>
          <w:szCs w:val="22"/>
        </w:rPr>
        <w:t xml:space="preserve">se fundamenta </w:t>
      </w:r>
      <w:r w:rsidR="000B3C73" w:rsidRPr="00AD165E">
        <w:rPr>
          <w:rFonts w:ascii="Avenir-Book" w:hAnsi="Avenir-Book" w:cs="Arial"/>
          <w:sz w:val="22"/>
          <w:szCs w:val="22"/>
        </w:rPr>
        <w:t>en el artículo 108, de la Constitución Local, sus disposiciones so</w:t>
      </w:r>
      <w:r w:rsidR="00041F46" w:rsidRPr="00AD165E">
        <w:rPr>
          <w:rFonts w:ascii="Avenir-Book" w:hAnsi="Avenir-Book" w:cs="Arial"/>
          <w:sz w:val="22"/>
          <w:szCs w:val="22"/>
        </w:rPr>
        <w:t xml:space="preserve">n de orden público, observancia </w:t>
      </w:r>
      <w:r w:rsidR="000B3C73" w:rsidRPr="00AD165E">
        <w:rPr>
          <w:rFonts w:ascii="Avenir-Book" w:hAnsi="Avenir-Book" w:cs="Arial"/>
          <w:sz w:val="22"/>
          <w:szCs w:val="22"/>
        </w:rPr>
        <w:t>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 Municipales.</w:t>
      </w:r>
    </w:p>
    <w:p w:rsidR="00E11AA8" w:rsidRPr="00AD165E" w:rsidRDefault="00E11AA8" w:rsidP="000B3C73">
      <w:pPr>
        <w:jc w:val="both"/>
        <w:rPr>
          <w:rFonts w:ascii="Avenir-Book" w:hAnsi="Avenir-Book" w:cs="Arial"/>
          <w:sz w:val="22"/>
          <w:szCs w:val="22"/>
        </w:rPr>
      </w:pPr>
    </w:p>
    <w:p w:rsidR="00D61AFD"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Por </w:t>
      </w:r>
      <w:r w:rsidR="002174E1" w:rsidRPr="00AD165E">
        <w:rPr>
          <w:rFonts w:ascii="Avenir-Book" w:hAnsi="Avenir-Book" w:cs="Arial"/>
          <w:sz w:val="22"/>
          <w:szCs w:val="22"/>
        </w:rPr>
        <w:t>tanto,</w:t>
      </w:r>
      <w:r w:rsidRPr="00AD165E">
        <w:rPr>
          <w:rFonts w:ascii="Avenir-Book" w:hAnsi="Avenir-Book" w:cs="Arial"/>
          <w:sz w:val="22"/>
          <w:szCs w:val="22"/>
        </w:rPr>
        <w:t xml:space="preserve"> las adquisiciones que realicen el Municipio a través de sus Dependencias, deberán sujetarse a las disposiciones legales que regulan la materia, observando los montos máximos y mínimos de adjudicación que se aplicarán en el ejercicio 2019, para realizar las adjudicaciones de adquisiciones, arrendamientos y servicios, según corresponda con lo siguiente:</w:t>
      </w:r>
    </w:p>
    <w:p w:rsidR="00D61AFD" w:rsidRPr="00AD165E" w:rsidRDefault="00D61AFD" w:rsidP="000B3C73">
      <w:pPr>
        <w:jc w:val="both"/>
        <w:rPr>
          <w:rFonts w:ascii="Avenir-Book" w:hAnsi="Avenir-Book" w:cs="Arial"/>
          <w:sz w:val="22"/>
          <w:szCs w:val="22"/>
        </w:rPr>
      </w:pPr>
    </w:p>
    <w:p w:rsidR="000B3C73" w:rsidRPr="00AD165E" w:rsidRDefault="000B3C73" w:rsidP="00D61AFD">
      <w:pPr>
        <w:pStyle w:val="Prrafodelista"/>
        <w:numPr>
          <w:ilvl w:val="0"/>
          <w:numId w:val="17"/>
        </w:numPr>
        <w:autoSpaceDE w:val="0"/>
        <w:autoSpaceDN w:val="0"/>
        <w:adjustRightInd w:val="0"/>
        <w:ind w:left="709" w:firstLine="0"/>
        <w:jc w:val="both"/>
        <w:rPr>
          <w:rFonts w:ascii="Avenir-Book" w:hAnsi="Avenir-Book" w:cs="Arial"/>
        </w:rPr>
      </w:pPr>
      <w:r w:rsidRPr="00AD165E">
        <w:rPr>
          <w:rFonts w:ascii="Avenir-Book" w:hAnsi="Avenir-Book" w:cs="Arial"/>
        </w:rPr>
        <w:t xml:space="preserve">Cuando el monto de las adquisiciones, arrendamientos o prestación de servicios sea superior a $1´772,000.00 (Un millón setecientos setenta y dos mil pesos 00/100 M.N.) y se cuente con </w:t>
      </w:r>
      <w:r w:rsidR="00D61AFD" w:rsidRPr="00AD165E">
        <w:rPr>
          <w:rFonts w:ascii="Avenir-Book" w:hAnsi="Avenir-Book" w:cs="Arial"/>
        </w:rPr>
        <w:t xml:space="preserve">disponibilidad presupuestal, se </w:t>
      </w:r>
      <w:r w:rsidRPr="00AD165E">
        <w:rPr>
          <w:rFonts w:ascii="Avenir-Book" w:hAnsi="Avenir-Book" w:cs="Arial"/>
        </w:rPr>
        <w:t xml:space="preserve">deberá adjudicar el pedido o contrato respectivo mediante </w:t>
      </w:r>
      <w:r w:rsidRPr="00AD165E">
        <w:rPr>
          <w:rFonts w:ascii="Avenir-Book" w:hAnsi="Avenir-Book" w:cs="Arial"/>
          <w:b/>
        </w:rPr>
        <w:t>licitación pública</w:t>
      </w:r>
      <w:r w:rsidRPr="00AD165E">
        <w:rPr>
          <w:rFonts w:ascii="Avenir-Book" w:hAnsi="Avenir-Book" w:cs="Arial"/>
        </w:rPr>
        <w:t>;</w:t>
      </w:r>
    </w:p>
    <w:p w:rsidR="000B3C73" w:rsidRPr="00AD165E" w:rsidRDefault="000B3C73" w:rsidP="000B3C73">
      <w:pPr>
        <w:autoSpaceDE w:val="0"/>
        <w:autoSpaceDN w:val="0"/>
        <w:adjustRightInd w:val="0"/>
        <w:ind w:left="708"/>
        <w:jc w:val="both"/>
        <w:rPr>
          <w:rFonts w:ascii="Avenir-Book" w:hAnsi="Avenir-Book" w:cs="Arial"/>
          <w:b/>
          <w:sz w:val="22"/>
          <w:szCs w:val="22"/>
        </w:rPr>
      </w:pPr>
      <w:r w:rsidRPr="00AD165E">
        <w:rPr>
          <w:rFonts w:ascii="Avenir-Book" w:hAnsi="Avenir-Book" w:cs="Arial"/>
          <w:b/>
          <w:sz w:val="22"/>
          <w:szCs w:val="22"/>
        </w:rPr>
        <w:t>B)</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arrendamientos o prestación de servicios sea superior a $783,000.00 (Setecientos ochenta y tres mil pesos 00/100 M.N.), y no exceda de $1´772,000.00 (Un millón setecientos setenta y dos mil pesos 00/100 M.N.) se deberá adjudicar mediante </w:t>
      </w:r>
      <w:r w:rsidRPr="00AD165E">
        <w:rPr>
          <w:rFonts w:ascii="Avenir-Book" w:hAnsi="Avenir-Book" w:cs="Arial"/>
          <w:b/>
          <w:sz w:val="22"/>
          <w:szCs w:val="22"/>
        </w:rPr>
        <w:t>concurso por invitación</w:t>
      </w:r>
      <w:r w:rsidRPr="00AD165E">
        <w:rPr>
          <w:rFonts w:ascii="Avenir-Book" w:hAnsi="Avenir-Book" w:cs="Arial"/>
          <w:sz w:val="22"/>
          <w:szCs w:val="22"/>
        </w:rPr>
        <w:t>;</w:t>
      </w:r>
    </w:p>
    <w:p w:rsidR="000B3C73" w:rsidRPr="00AD165E" w:rsidRDefault="000B3C73" w:rsidP="000B3C73">
      <w:pPr>
        <w:autoSpaceDE w:val="0"/>
        <w:autoSpaceDN w:val="0"/>
        <w:adjustRightInd w:val="0"/>
        <w:ind w:left="708"/>
        <w:jc w:val="both"/>
        <w:rPr>
          <w:rFonts w:ascii="Avenir-Book" w:hAnsi="Avenir-Book" w:cs="Arial"/>
          <w:b/>
          <w:sz w:val="22"/>
          <w:szCs w:val="22"/>
        </w:rPr>
      </w:pPr>
    </w:p>
    <w:p w:rsidR="000B3C73" w:rsidRPr="00AD165E" w:rsidRDefault="000B3C73" w:rsidP="00F13FBC">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C)</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de bienes, arrendamientos o prestación de servicios sea superior a $133,300.00 (Ciento treinta y tres mil trescientos pesos 00/100 M.N.), y no exceda de $783,000.00 (Setecientos ochenta y tres mil pesos 00/100 M.N.), se asignará por el procedimiento de adjudicación mediante </w:t>
      </w:r>
      <w:r w:rsidRPr="00AD165E">
        <w:rPr>
          <w:rFonts w:ascii="Avenir-Book" w:hAnsi="Avenir-Book" w:cs="Arial"/>
          <w:b/>
          <w:sz w:val="22"/>
          <w:szCs w:val="22"/>
        </w:rPr>
        <w:t xml:space="preserve">invitación a cuando menos tres personas, </w:t>
      </w:r>
      <w:r w:rsidRPr="00AD165E">
        <w:rPr>
          <w:rFonts w:ascii="Avenir-Book" w:hAnsi="Avenir-Book" w:cs="Arial"/>
          <w:sz w:val="22"/>
          <w:szCs w:val="22"/>
        </w:rPr>
        <w:t>mediante el Comité de Adjudicaciones;</w:t>
      </w:r>
    </w:p>
    <w:p w:rsidR="000B3C73" w:rsidRPr="00AD165E" w:rsidRDefault="000B3C73" w:rsidP="000B3C73">
      <w:pPr>
        <w:autoSpaceDE w:val="0"/>
        <w:autoSpaceDN w:val="0"/>
        <w:adjustRightInd w:val="0"/>
        <w:ind w:left="708"/>
        <w:jc w:val="both"/>
        <w:rPr>
          <w:rFonts w:ascii="Avenir-Book" w:hAnsi="Avenir-Book" w:cs="Arial"/>
          <w:sz w:val="22"/>
          <w:szCs w:val="22"/>
        </w:rPr>
      </w:pPr>
    </w:p>
    <w:p w:rsidR="000B3C73" w:rsidRPr="00AD165E" w:rsidRDefault="000B3C73" w:rsidP="001B3004">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D)</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de bienes, arrendamientos o prestación de servicios sea superior a $29,900.00 (Veintinueve mil novecientos pesos 00/100 M.N.), y no exceda de $133,300.00 (Ciento treinta y tres mil trescientos pesos 00/100 M.N.), se asignará mediante el procedimiento de </w:t>
      </w:r>
      <w:r w:rsidRPr="00AD165E">
        <w:rPr>
          <w:rFonts w:ascii="Avenir-Book" w:hAnsi="Avenir-Book" w:cs="Arial"/>
          <w:b/>
          <w:sz w:val="22"/>
          <w:szCs w:val="22"/>
        </w:rPr>
        <w:t>invitación a cuando menos tres personas</w:t>
      </w:r>
      <w:r w:rsidRPr="00AD165E">
        <w:rPr>
          <w:rFonts w:ascii="Avenir-Book" w:hAnsi="Avenir-Book" w:cs="Arial"/>
          <w:sz w:val="22"/>
          <w:szCs w:val="22"/>
        </w:rPr>
        <w:t>, por parte de la Secretaría de Administración;</w:t>
      </w:r>
    </w:p>
    <w:p w:rsidR="000B3C73" w:rsidRPr="00AD165E" w:rsidRDefault="000B3C73" w:rsidP="000B3C73">
      <w:pPr>
        <w:autoSpaceDE w:val="0"/>
        <w:autoSpaceDN w:val="0"/>
        <w:adjustRightInd w:val="0"/>
        <w:ind w:left="708"/>
        <w:jc w:val="both"/>
        <w:rPr>
          <w:rFonts w:ascii="Avenir-Book" w:hAnsi="Avenir-Book" w:cs="Arial"/>
          <w:sz w:val="22"/>
          <w:szCs w:val="22"/>
        </w:rPr>
      </w:pPr>
    </w:p>
    <w:p w:rsidR="000B3C73" w:rsidRPr="00AD165E" w:rsidRDefault="000B3C73" w:rsidP="000B3C73">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E)</w:t>
      </w:r>
      <w:r w:rsidR="00D61AFD" w:rsidRPr="00AD165E">
        <w:rPr>
          <w:rFonts w:ascii="Avenir-Book" w:hAnsi="Avenir-Book" w:cs="Arial"/>
          <w:sz w:val="22"/>
          <w:szCs w:val="22"/>
        </w:rPr>
        <w:tab/>
      </w:r>
      <w:r w:rsidRPr="00AD165E">
        <w:rPr>
          <w:rFonts w:ascii="Avenir-Book" w:hAnsi="Avenir-Book" w:cs="Arial"/>
          <w:sz w:val="22"/>
          <w:szCs w:val="22"/>
        </w:rPr>
        <w:t xml:space="preserve">Las Dependencias y Entidades podrán contratar de manera </w:t>
      </w:r>
      <w:r w:rsidRPr="00AD165E">
        <w:rPr>
          <w:rFonts w:ascii="Avenir-Book" w:hAnsi="Avenir-Book" w:cs="Arial"/>
          <w:b/>
          <w:sz w:val="22"/>
          <w:szCs w:val="22"/>
        </w:rPr>
        <w:t xml:space="preserve">directa </w:t>
      </w:r>
      <w:r w:rsidRPr="00AD165E">
        <w:rPr>
          <w:rFonts w:ascii="Avenir-Book" w:hAnsi="Avenir-Book" w:cs="Arial"/>
          <w:sz w:val="22"/>
          <w:szCs w:val="22"/>
        </w:rPr>
        <w:t>con las personas y/o prestadores de servicios, cuando el monto no exceda de $29,900.00 (Veintinueve mil novecientos pesos 00/100 M.N.), siempre y cuando exista disponibilidad presupuestal.</w:t>
      </w:r>
    </w:p>
    <w:p w:rsidR="000B3C73" w:rsidRPr="00AD165E" w:rsidRDefault="000B3C73" w:rsidP="00041F46">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F</w:t>
      </w:r>
      <w:r w:rsidR="00D61AFD" w:rsidRPr="00AD165E">
        <w:rPr>
          <w:rFonts w:ascii="Avenir-Book" w:hAnsi="Avenir-Book" w:cs="Arial"/>
          <w:b/>
          <w:sz w:val="22"/>
          <w:szCs w:val="22"/>
        </w:rPr>
        <w:t>)</w:t>
      </w:r>
      <w:r w:rsidR="00D61AFD" w:rsidRPr="00AD165E">
        <w:rPr>
          <w:rFonts w:ascii="Avenir-Book" w:hAnsi="Avenir-Book" w:cs="Arial"/>
          <w:b/>
          <w:sz w:val="22"/>
          <w:szCs w:val="22"/>
        </w:rPr>
        <w:tab/>
      </w:r>
      <w:r w:rsidRPr="00AD165E">
        <w:rPr>
          <w:rFonts w:ascii="Avenir-Book" w:hAnsi="Avenir-Book" w:cs="Arial"/>
          <w:sz w:val="22"/>
          <w:szCs w:val="22"/>
        </w:rPr>
        <w:t xml:space="preserve">Para el procedimiento de </w:t>
      </w:r>
      <w:r w:rsidRPr="00AD165E">
        <w:rPr>
          <w:rFonts w:ascii="Avenir-Book" w:hAnsi="Avenir-Book" w:cs="Arial"/>
          <w:b/>
          <w:sz w:val="22"/>
          <w:szCs w:val="22"/>
        </w:rPr>
        <w:t>adjudicación</w:t>
      </w:r>
      <w:r w:rsidRPr="00AD165E">
        <w:rPr>
          <w:rFonts w:ascii="Avenir-Book" w:hAnsi="Avenir-Book" w:cs="Arial"/>
          <w:sz w:val="22"/>
          <w:szCs w:val="22"/>
        </w:rPr>
        <w:t>, el límite máximo para la adquisición de vehículos será de $1’300,000.00 (Un millón trescientos mil pesos 00/100 M.N.); las dependencias y entidades únicamente podrán realizarlas a través de la Secretaría de Administración;</w:t>
      </w:r>
    </w:p>
    <w:p w:rsidR="000B3C73" w:rsidRPr="00AD165E" w:rsidRDefault="000B3C73" w:rsidP="000B3C73">
      <w:pPr>
        <w:autoSpaceDE w:val="0"/>
        <w:autoSpaceDN w:val="0"/>
        <w:adjustRightInd w:val="0"/>
        <w:jc w:val="both"/>
        <w:rPr>
          <w:rFonts w:ascii="Avenir-Book" w:hAnsi="Avenir-Book" w:cs="Arial"/>
          <w:sz w:val="22"/>
          <w:szCs w:val="22"/>
        </w:rPr>
      </w:pPr>
    </w:p>
    <w:p w:rsidR="00E11AA8"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Los montos establecidos para las adquisiciones, arrendamientos y prestaciones de servicios deberán considerarse </w:t>
      </w:r>
      <w:r w:rsidRPr="00AD165E">
        <w:rPr>
          <w:rFonts w:ascii="Avenir-Book" w:hAnsi="Avenir-Book" w:cs="Arial"/>
          <w:b/>
          <w:sz w:val="22"/>
          <w:szCs w:val="22"/>
          <w:u w:val="single"/>
        </w:rPr>
        <w:t>sin incluir el importe del Impuesto al Valor Agregado</w:t>
      </w:r>
      <w:r w:rsidR="00CA5E2C" w:rsidRPr="00AD165E">
        <w:rPr>
          <w:rFonts w:ascii="Avenir-Book" w:hAnsi="Avenir-Book" w:cs="Arial"/>
          <w:sz w:val="22"/>
          <w:szCs w:val="22"/>
        </w:rPr>
        <w:t>.</w:t>
      </w:r>
    </w:p>
    <w:p w:rsidR="00CA5E2C" w:rsidRPr="00AD165E" w:rsidRDefault="00CA5E2C" w:rsidP="000B3C73">
      <w:pPr>
        <w:autoSpaceDE w:val="0"/>
        <w:autoSpaceDN w:val="0"/>
        <w:adjustRightInd w:val="0"/>
        <w:jc w:val="both"/>
        <w:rPr>
          <w:rFonts w:ascii="Avenir-Book" w:hAnsi="Avenir-Book" w:cs="Arial"/>
          <w:sz w:val="22"/>
          <w:szCs w:val="22"/>
        </w:rPr>
      </w:pPr>
    </w:p>
    <w:p w:rsidR="00EC1D76" w:rsidRPr="00AD165E" w:rsidRDefault="000B3C73" w:rsidP="000B3C73">
      <w:pPr>
        <w:autoSpaceDE w:val="0"/>
        <w:autoSpaceDN w:val="0"/>
        <w:adjustRightInd w:val="0"/>
        <w:jc w:val="both"/>
        <w:rPr>
          <w:rFonts w:ascii="Avenir-Book" w:hAnsi="Avenir-Book" w:cs="Arial"/>
          <w:b/>
          <w:i/>
          <w:sz w:val="22"/>
          <w:szCs w:val="22"/>
        </w:rPr>
      </w:pPr>
      <w:r w:rsidRPr="00AD165E">
        <w:rPr>
          <w:rFonts w:ascii="Avenir-Book" w:hAnsi="Avenir-Book" w:cs="Arial"/>
          <w:sz w:val="22"/>
          <w:szCs w:val="22"/>
        </w:rPr>
        <w:t xml:space="preserve">Para identificar de manera resumida la información descrita en el segundo párrafo del artículo 24 del presente dictamen de Presupuesto de Egresos 2018, se expresa el contenido en el </w:t>
      </w:r>
      <w:r w:rsidRPr="00AD165E">
        <w:rPr>
          <w:rFonts w:ascii="Avenir-Book" w:hAnsi="Avenir-Book" w:cs="Arial"/>
          <w:b/>
          <w:sz w:val="22"/>
          <w:szCs w:val="22"/>
        </w:rPr>
        <w:t>C</w:t>
      </w:r>
      <w:r w:rsidR="00A532EA" w:rsidRPr="00AD165E">
        <w:rPr>
          <w:rFonts w:ascii="Avenir-Book" w:hAnsi="Avenir-Book" w:cs="Arial"/>
          <w:b/>
          <w:i/>
          <w:sz w:val="22"/>
          <w:szCs w:val="22"/>
        </w:rPr>
        <w:t xml:space="preserve">uadro 31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r w:rsidR="00DE475C" w:rsidRPr="00AD165E">
        <w:rPr>
          <w:rFonts w:ascii="Avenir-Book" w:hAnsi="Avenir-Book" w:cs="Arial"/>
          <w:b/>
          <w:i/>
          <w:sz w:val="22"/>
          <w:szCs w:val="22"/>
        </w:rPr>
        <w:t>.</w:t>
      </w:r>
    </w:p>
    <w:p w:rsidR="00D61AFD" w:rsidRPr="00AD165E" w:rsidRDefault="00D61AFD"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rsidR="000B3C73" w:rsidRPr="00AD165E" w:rsidRDefault="000B3C73" w:rsidP="000B3C73">
      <w:pPr>
        <w:autoSpaceDE w:val="0"/>
        <w:autoSpaceDN w:val="0"/>
        <w:adjustRightInd w:val="0"/>
        <w:ind w:left="708"/>
        <w:jc w:val="both"/>
        <w:rPr>
          <w:rFonts w:ascii="Avenir-Book" w:hAnsi="Avenir-Book" w:cs="Arial"/>
          <w:sz w:val="22"/>
          <w:szCs w:val="22"/>
        </w:rPr>
      </w:pPr>
    </w:p>
    <w:p w:rsidR="003F6B6A" w:rsidRPr="00AD165E" w:rsidRDefault="00CA5E2C" w:rsidP="00801C04">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28</w:t>
      </w:r>
      <w:r w:rsidR="000B3C73" w:rsidRPr="00AD165E">
        <w:rPr>
          <w:rFonts w:ascii="Avenir-Book" w:hAnsi="Avenir-Book" w:cs="Arial"/>
          <w:b/>
          <w:sz w:val="22"/>
          <w:szCs w:val="22"/>
        </w:rPr>
        <w:t>.-</w:t>
      </w:r>
      <w:r w:rsidR="000B3C73" w:rsidRPr="00AD165E">
        <w:rPr>
          <w:rFonts w:ascii="Avenir-Book" w:hAnsi="Avenir-Book" w:cs="Arial"/>
          <w:sz w:val="22"/>
          <w:szCs w:val="22"/>
        </w:rPr>
        <w:t>Cuando se ejecuten recursos federales, los montos de adjudicación se deberán apegar a la normatividad aplicable o a la que se pacte en los ac</w:t>
      </w:r>
      <w:r w:rsidR="00DB3897" w:rsidRPr="00AD165E">
        <w:rPr>
          <w:rFonts w:ascii="Avenir-Book" w:hAnsi="Avenir-Book" w:cs="Arial"/>
          <w:sz w:val="22"/>
          <w:szCs w:val="22"/>
        </w:rPr>
        <w:t>uerdos o convenios respectivos.</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LOS MONTOS MÁXIMOS Y MÍNIMOS PARA LA ADJUDICACIÓN</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OBRA PÚBLICA Y SERVICIOS RELACIONADOS CON LA MISMA</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29</w:t>
      </w:r>
      <w:r w:rsidR="000B3C73" w:rsidRPr="00AD165E">
        <w:rPr>
          <w:rFonts w:ascii="Avenir-Book" w:hAnsi="Avenir-Book" w:cs="Arial"/>
          <w:b/>
          <w:sz w:val="22"/>
          <w:szCs w:val="22"/>
        </w:rPr>
        <w:t>.-</w:t>
      </w:r>
      <w:r w:rsidR="000B3C73" w:rsidRPr="00AD165E">
        <w:rPr>
          <w:rFonts w:ascii="Avenir-Book" w:hAnsi="Avenir-Book" w:cs="Arial"/>
          <w:sz w:val="22"/>
          <w:szCs w:val="22"/>
        </w:rPr>
        <w:t>Los montos máximos y mínimos de adjudicación para obra pública que las Dependencias y Entidades del Honorable Ayuntamiento del Municipio de Puebla contraten, se sujetarán durante el ejercicio fiscal 2019, a los siguientes montos y procedimientos de adjudicación, en términos de lo establecido en la Ley de Obra Pública y Servicios Relacionados con la Misma para el Estado de Puebla:</w:t>
      </w:r>
    </w:p>
    <w:p w:rsidR="000B3C73" w:rsidRPr="00AD165E" w:rsidRDefault="000B3C73" w:rsidP="000B3C73">
      <w:pPr>
        <w:jc w:val="both"/>
        <w:rPr>
          <w:rFonts w:ascii="Avenir-Book" w:hAnsi="Avenir-Book" w:cs="Arial"/>
          <w:sz w:val="22"/>
          <w:szCs w:val="22"/>
        </w:rPr>
      </w:pPr>
    </w:p>
    <w:p w:rsidR="000B3C73" w:rsidRPr="00AD165E" w:rsidRDefault="000B3C73" w:rsidP="0094029A">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Superiores a $1’893,758.00 (Un millón ochocientos a y ocho mil seiscientos pesos 00/100 M.N.), se adjudicarán por </w:t>
      </w:r>
      <w:r w:rsidRPr="00AD165E">
        <w:rPr>
          <w:rFonts w:ascii="Avenir-Book" w:hAnsi="Avenir-Book" w:cs="Arial"/>
          <w:b/>
        </w:rPr>
        <w:t>licitación pública mediante convocatoria</w:t>
      </w:r>
      <w:r w:rsidRPr="00AD165E">
        <w:rPr>
          <w:rFonts w:ascii="Avenir-Book" w:hAnsi="Avenir-Book" w:cs="Arial"/>
        </w:rPr>
        <w:t>.</w:t>
      </w:r>
    </w:p>
    <w:p w:rsidR="000B3C73" w:rsidRPr="00AD165E" w:rsidRDefault="000B3C73" w:rsidP="000B3C73">
      <w:pPr>
        <w:pStyle w:val="Prrafodelista"/>
        <w:autoSpaceDE w:val="0"/>
        <w:autoSpaceDN w:val="0"/>
        <w:adjustRightInd w:val="0"/>
        <w:ind w:left="1128"/>
        <w:jc w:val="both"/>
        <w:rPr>
          <w:rFonts w:ascii="Avenir-Book" w:hAnsi="Avenir-Book" w:cs="Arial"/>
        </w:rPr>
      </w:pPr>
    </w:p>
    <w:p w:rsidR="00795F30" w:rsidRPr="00AD165E" w:rsidRDefault="000B3C73" w:rsidP="00795F30">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Superiores a $949,557.00 (Novecientos cuarenta y nueve mil quinientos cincuenta y siete pesos 00/100 M.N.), pero que no excedan de </w:t>
      </w:r>
    </w:p>
    <w:p w:rsidR="00795F30" w:rsidRPr="00AD165E" w:rsidRDefault="00795F30" w:rsidP="00795F30">
      <w:pPr>
        <w:pStyle w:val="Prrafodelista"/>
        <w:autoSpaceDE w:val="0"/>
        <w:autoSpaceDN w:val="0"/>
        <w:adjustRightInd w:val="0"/>
        <w:ind w:left="1128"/>
        <w:jc w:val="both"/>
        <w:rPr>
          <w:rFonts w:ascii="Avenir-Book" w:hAnsi="Avenir-Book" w:cs="Arial"/>
        </w:rPr>
      </w:pPr>
    </w:p>
    <w:p w:rsidR="000B3C73" w:rsidRPr="00AD165E" w:rsidRDefault="000B3C73" w:rsidP="0094029A">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$1’893,758.00 (Un millón ochocientos noventa y tres mil setecientos cincuenta y ocho pesos 00/100 M.N.), se adjudicarán por el procedimiento de </w:t>
      </w:r>
      <w:r w:rsidRPr="00AD165E">
        <w:rPr>
          <w:rFonts w:ascii="Avenir-Book" w:hAnsi="Avenir-Book" w:cs="Arial"/>
          <w:b/>
        </w:rPr>
        <w:t>invitación a un mínimo de cinco personas</w:t>
      </w:r>
      <w:r w:rsidRPr="00AD165E">
        <w:rPr>
          <w:rFonts w:ascii="Avenir-Book" w:hAnsi="Avenir-Book" w:cs="Arial"/>
        </w:rPr>
        <w:t>.</w:t>
      </w:r>
    </w:p>
    <w:p w:rsidR="00041F46" w:rsidRPr="00AD165E" w:rsidRDefault="00041F46" w:rsidP="00041F46">
      <w:pPr>
        <w:pStyle w:val="Prrafodelista"/>
        <w:autoSpaceDE w:val="0"/>
        <w:autoSpaceDN w:val="0"/>
        <w:adjustRightInd w:val="0"/>
        <w:ind w:left="1128"/>
        <w:jc w:val="both"/>
        <w:rPr>
          <w:rFonts w:ascii="Avenir-Book" w:hAnsi="Avenir-Book" w:cs="Arial"/>
        </w:rPr>
      </w:pPr>
    </w:p>
    <w:p w:rsidR="00041F46" w:rsidRPr="00AD165E" w:rsidRDefault="000B3C73" w:rsidP="0094029A">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Superiores a $488,014.00 (Cuatrocientos ochenta y ocho mil ochocientos pesos 14/100 M.N.), pero que no excedan de $949,557.00 (Novecientos cuarenta y nueve mil quinientos cincuenta y siete pesos 00/100 M.N.), se adjudicarán mediante el procedimiento de </w:t>
      </w:r>
      <w:r w:rsidRPr="00AD165E">
        <w:rPr>
          <w:rFonts w:ascii="Avenir-Book" w:hAnsi="Avenir-Book" w:cs="Arial"/>
          <w:b/>
        </w:rPr>
        <w:t>invitación a un mínimo de tres personas</w:t>
      </w:r>
      <w:r w:rsidRPr="00AD165E">
        <w:rPr>
          <w:rFonts w:ascii="Avenir-Book" w:hAnsi="Avenir-Book" w:cs="Arial"/>
        </w:rPr>
        <w:t>.</w:t>
      </w:r>
    </w:p>
    <w:p w:rsidR="00041F46" w:rsidRPr="00AD165E" w:rsidRDefault="00041F46" w:rsidP="00041F46">
      <w:pPr>
        <w:pStyle w:val="Prrafodelista"/>
        <w:rPr>
          <w:rFonts w:ascii="Avenir-Book" w:hAnsi="Avenir-Book" w:cs="Arial"/>
        </w:rPr>
      </w:pPr>
    </w:p>
    <w:p w:rsidR="00D61AFD" w:rsidRPr="00AD165E" w:rsidRDefault="000B3C73" w:rsidP="000B3C73">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Hasta $488,014.00 (Cuatrocientos ochenta y ocho mil catorce pesos 00/100 M.N.), las obras públicas o los servicios relacionados con las mismas se realizarán por </w:t>
      </w:r>
      <w:r w:rsidRPr="00AD165E">
        <w:rPr>
          <w:rFonts w:ascii="Avenir-Book" w:hAnsi="Avenir-Book" w:cs="Arial"/>
          <w:b/>
        </w:rPr>
        <w:t>adjudicación directa</w:t>
      </w:r>
      <w:r w:rsidRPr="00AD165E">
        <w:rPr>
          <w:rFonts w:ascii="Avenir-Book" w:hAnsi="Avenir-Book" w:cs="Arial"/>
        </w:rPr>
        <w:t>.</w:t>
      </w: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Los montos establecidos para contratación de obra pública y servicios relacionados con la misma deberán considerarse </w:t>
      </w:r>
      <w:r w:rsidRPr="00AD165E">
        <w:rPr>
          <w:rFonts w:ascii="Avenir-Book" w:hAnsi="Avenir-Book" w:cs="Arial"/>
          <w:b/>
          <w:sz w:val="22"/>
          <w:szCs w:val="22"/>
          <w:u w:val="single"/>
        </w:rPr>
        <w:t>sin incluir el importe del Impuesto al Valor Agregado</w:t>
      </w:r>
      <w:r w:rsidRPr="00AD165E">
        <w:rPr>
          <w:rFonts w:ascii="Avenir-Book" w:hAnsi="Avenir-Book" w:cs="Arial"/>
          <w:sz w:val="22"/>
          <w:szCs w:val="22"/>
        </w:rPr>
        <w:t>.</w:t>
      </w:r>
    </w:p>
    <w:p w:rsidR="004D0472" w:rsidRPr="00AD165E" w:rsidRDefault="004D0472"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bCs/>
          <w:sz w:val="22"/>
          <w:szCs w:val="22"/>
          <w:lang w:eastAsia="es-MX"/>
        </w:rPr>
      </w:pPr>
      <w:r w:rsidRPr="00AD165E">
        <w:rPr>
          <w:rFonts w:ascii="Avenir-Book" w:hAnsi="Avenir-Book" w:cs="Arial"/>
          <w:sz w:val="22"/>
          <w:szCs w:val="22"/>
        </w:rPr>
        <w:t xml:space="preserve">Para identificar de manera resumida la información descrita en el presente artículo, se expresa el contenido en el </w:t>
      </w:r>
      <w:r w:rsidRPr="00AD165E">
        <w:rPr>
          <w:rFonts w:ascii="Avenir-Book" w:hAnsi="Avenir-Book" w:cs="Arial"/>
          <w:b/>
          <w:sz w:val="22"/>
          <w:szCs w:val="22"/>
        </w:rPr>
        <w:t>C</w:t>
      </w:r>
      <w:r w:rsidR="00A532EA" w:rsidRPr="00AD165E">
        <w:rPr>
          <w:rFonts w:ascii="Avenir-Book" w:hAnsi="Avenir-Book" w:cs="Arial"/>
          <w:b/>
          <w:i/>
          <w:sz w:val="22"/>
          <w:szCs w:val="22"/>
        </w:rPr>
        <w:t>uadro 32</w:t>
      </w:r>
      <w:r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r w:rsidR="000B51E0" w:rsidRPr="00AD165E">
        <w:rPr>
          <w:rFonts w:ascii="Avenir-Book" w:hAnsi="Avenir-Book" w:cs="Arial"/>
          <w:b/>
          <w:i/>
          <w:sz w:val="22"/>
          <w:szCs w:val="22"/>
        </w:rPr>
        <w:t>.</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Para la aplicación de este precepto y con el fin de determinar en cuál de los rangos establecidos en las fracciones anteriores queda comprendida una obra, ésta deberá considerarse individualmente, en el entendido de </w:t>
      </w:r>
      <w:r w:rsidR="002174E1" w:rsidRPr="00AD165E">
        <w:rPr>
          <w:rFonts w:ascii="Avenir-Book" w:hAnsi="Avenir-Book" w:cs="Arial"/>
          <w:sz w:val="22"/>
          <w:szCs w:val="22"/>
        </w:rPr>
        <w:t>que,</w:t>
      </w:r>
      <w:r w:rsidRPr="00AD165E">
        <w:rPr>
          <w:rFonts w:ascii="Avenir-Book" w:hAnsi="Avenir-Book" w:cs="Arial"/>
          <w:sz w:val="22"/>
          <w:szCs w:val="22"/>
        </w:rPr>
        <w:t xml:space="preserve"> en </w:t>
      </w:r>
      <w:r w:rsidRPr="00AD165E">
        <w:rPr>
          <w:rFonts w:ascii="Avenir-Book" w:hAnsi="Avenir-Book" w:cs="Arial"/>
          <w:sz w:val="22"/>
          <w:szCs w:val="22"/>
          <w:u w:val="single"/>
        </w:rPr>
        <w:t>ningún</w:t>
      </w:r>
      <w:r w:rsidRPr="00AD165E">
        <w:rPr>
          <w:rFonts w:ascii="Avenir-Book" w:hAnsi="Avenir-Book" w:cs="Arial"/>
          <w:sz w:val="22"/>
          <w:szCs w:val="22"/>
        </w:rPr>
        <w:t xml:space="preserve"> caso, el importe total de una obra podrá </w:t>
      </w:r>
      <w:r w:rsidRPr="00AD165E">
        <w:rPr>
          <w:rFonts w:ascii="Avenir-Book" w:hAnsi="Avenir-Book" w:cs="Arial"/>
          <w:sz w:val="22"/>
          <w:szCs w:val="22"/>
          <w:u w:val="single"/>
        </w:rPr>
        <w:t>ser fraccionado</w:t>
      </w:r>
      <w:r w:rsidRPr="00AD165E">
        <w:rPr>
          <w:rFonts w:ascii="Avenir-Book" w:hAnsi="Avenir-Book" w:cs="Arial"/>
          <w:sz w:val="22"/>
          <w:szCs w:val="22"/>
        </w:rPr>
        <w:t>.</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30</w:t>
      </w:r>
      <w:r w:rsidR="000B3C73" w:rsidRPr="00AD165E">
        <w:rPr>
          <w:rFonts w:ascii="Avenir-Book" w:hAnsi="Avenir-Book" w:cs="Arial"/>
          <w:b/>
          <w:sz w:val="22"/>
          <w:szCs w:val="22"/>
        </w:rPr>
        <w:t xml:space="preserve">.- </w:t>
      </w:r>
      <w:r w:rsidR="000B3C73" w:rsidRPr="00AD165E">
        <w:rPr>
          <w:rFonts w:ascii="Avenir-Book" w:hAnsi="Avenir-Book" w:cs="Arial"/>
          <w:sz w:val="22"/>
          <w:szCs w:val="22"/>
        </w:rPr>
        <w:t>Cuando se ejecuten recursos federales, los montos de adjudicación se deberán apegar a la normatividad aplicable o a la que se pacte en los acuerdos o convenios respectivos</w:t>
      </w:r>
      <w:r w:rsidR="006A63AE" w:rsidRPr="00AD165E">
        <w:rPr>
          <w:rFonts w:ascii="Avenir-Book" w:hAnsi="Avenir-Book" w:cs="Arial"/>
          <w:sz w:val="22"/>
          <w:szCs w:val="22"/>
        </w:rPr>
        <w:t>.</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IV</w:t>
      </w:r>
    </w:p>
    <w:p w:rsidR="000B3C73" w:rsidRPr="00AD165E" w:rsidRDefault="000B3C73" w:rsidP="000B3C73">
      <w:pPr>
        <w:autoSpaceDE w:val="0"/>
        <w:autoSpaceDN w:val="0"/>
        <w:adjustRightInd w:val="0"/>
        <w:jc w:val="center"/>
        <w:rPr>
          <w:rFonts w:ascii="Avenir-Book" w:hAnsi="Avenir-Book" w:cs="Arial"/>
          <w:b/>
          <w:sz w:val="22"/>
          <w:szCs w:val="22"/>
        </w:rPr>
      </w:pPr>
      <w:r w:rsidRPr="00AD165E">
        <w:rPr>
          <w:rFonts w:ascii="Avenir-Book" w:hAnsi="Avenir-Book" w:cs="Arial"/>
          <w:b/>
          <w:sz w:val="22"/>
          <w:szCs w:val="22"/>
        </w:rPr>
        <w:t>DE LOS CRITERIOS PARA ADMINISTRAR FIDEICOMISOS, AHORROS O ECONOMÍAS, INGRESOS EXCEDENTES Y DETERMINAR SUBSIDIOS</w:t>
      </w:r>
    </w:p>
    <w:p w:rsidR="000B3C73" w:rsidRPr="00AD165E" w:rsidRDefault="000B3C73" w:rsidP="000B3C73">
      <w:pPr>
        <w:autoSpaceDE w:val="0"/>
        <w:autoSpaceDN w:val="0"/>
        <w:adjustRightInd w:val="0"/>
        <w:jc w:val="center"/>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31</w:t>
      </w:r>
      <w:r w:rsidR="000B3C73" w:rsidRPr="00AD165E">
        <w:rPr>
          <w:rFonts w:ascii="Avenir-Book" w:hAnsi="Avenir-Book" w:cs="Arial"/>
          <w:b/>
          <w:sz w:val="22"/>
          <w:szCs w:val="22"/>
        </w:rPr>
        <w:t xml:space="preserve">.- </w:t>
      </w:r>
      <w:r w:rsidR="000B3C73" w:rsidRPr="00AD165E">
        <w:rPr>
          <w:rFonts w:ascii="Avenir-Book" w:hAnsi="Avenir-Book" w:cs="Arial"/>
          <w:sz w:val="22"/>
          <w:szCs w:val="22"/>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w:t>
      </w:r>
      <w:r w:rsidR="000D3B04" w:rsidRPr="00AD165E">
        <w:rPr>
          <w:rFonts w:ascii="Avenir-Book" w:hAnsi="Avenir-Book" w:cs="Arial"/>
          <w:sz w:val="22"/>
          <w:szCs w:val="22"/>
        </w:rPr>
        <w:t>,</w:t>
      </w:r>
      <w:r w:rsidR="000B3C73" w:rsidRPr="00AD165E">
        <w:rPr>
          <w:rFonts w:ascii="Avenir-Book" w:hAnsi="Avenir-Book" w:cs="Arial"/>
          <w:sz w:val="22"/>
          <w:szCs w:val="22"/>
        </w:rPr>
        <w:t xml:space="preserve"> del Código Fiscal y Presupuestario para el Municipio de Puebla.</w:t>
      </w:r>
    </w:p>
    <w:p w:rsidR="00AB42A6" w:rsidRPr="00AD165E" w:rsidRDefault="00AB42A6" w:rsidP="000B3C73">
      <w:pPr>
        <w:jc w:val="both"/>
        <w:rPr>
          <w:rFonts w:ascii="Avenir-Book" w:hAnsi="Avenir-Book" w:cs="Arial"/>
          <w:sz w:val="22"/>
          <w:szCs w:val="22"/>
        </w:rPr>
      </w:pPr>
    </w:p>
    <w:p w:rsidR="000B3C73" w:rsidRPr="00AD165E" w:rsidRDefault="000B3C73" w:rsidP="000B3C73">
      <w:pPr>
        <w:jc w:val="both"/>
        <w:rPr>
          <w:rFonts w:ascii="Avenir-Book" w:hAnsi="Avenir-Book" w:cs="Arial"/>
          <w:bCs/>
          <w:sz w:val="22"/>
          <w:szCs w:val="22"/>
        </w:rPr>
      </w:pPr>
      <w:r w:rsidRPr="00AD165E">
        <w:rPr>
          <w:rFonts w:ascii="Avenir-Book" w:hAnsi="Avenir-Book" w:cs="Arial"/>
          <w:sz w:val="22"/>
          <w:szCs w:val="22"/>
        </w:rPr>
        <w:t>La aprobación, modificación y liquidación de los fideicomisos públicos, estará sujeta a lo establecido en el artículo anteriormente citado, el c</w:t>
      </w:r>
      <w:r w:rsidRPr="00AD165E">
        <w:rPr>
          <w:rFonts w:ascii="Avenir-Book" w:hAnsi="Avenir-Book" w:cs="Arial"/>
          <w:bCs/>
          <w:sz w:val="22"/>
          <w:szCs w:val="22"/>
        </w:rPr>
        <w:t>ual establece la facultad del Honorable Ayuntamiento 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al</w:t>
      </w:r>
      <w:r w:rsidR="000B3C73" w:rsidRPr="00AD165E">
        <w:rPr>
          <w:rFonts w:ascii="Avenir-Book" w:hAnsi="Avenir-Book" w:cs="Arial"/>
          <w:b/>
          <w:bCs/>
          <w:i/>
          <w:color w:val="auto"/>
          <w:sz w:val="16"/>
          <w:szCs w:val="16"/>
          <w:lang w:eastAsia="es-MX"/>
        </w:rPr>
        <w:t xml:space="preserve"> Criterio 81 del Catálogo de Criterios de Evaluación para la Elaboración del índice de Información Presupuestal Municipal (IIPM) 2017 del Instituto Mexicano para la Competitividad, A.C.</w:t>
      </w:r>
    </w:p>
    <w:p w:rsidR="00983D9F" w:rsidRPr="00AD165E" w:rsidRDefault="00983D9F" w:rsidP="000B3C73">
      <w:pPr>
        <w:autoSpaceDE w:val="0"/>
        <w:autoSpaceDN w:val="0"/>
        <w:adjustRightInd w:val="0"/>
        <w:jc w:val="both"/>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32</w:t>
      </w:r>
      <w:r w:rsidR="000B3C73" w:rsidRPr="00AD165E">
        <w:rPr>
          <w:rFonts w:ascii="Avenir-Book" w:hAnsi="Avenir-Book" w:cs="Arial"/>
          <w:b/>
          <w:sz w:val="22"/>
          <w:szCs w:val="22"/>
        </w:rPr>
        <w:t xml:space="preserve">.- </w:t>
      </w:r>
      <w:r w:rsidR="000B3C73" w:rsidRPr="00AD165E">
        <w:rPr>
          <w:rFonts w:ascii="Avenir-Book" w:hAnsi="Avenir-Book" w:cs="Arial"/>
          <w:sz w:val="22"/>
          <w:szCs w:val="22"/>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presupuestal vigente.</w:t>
      </w:r>
    </w:p>
    <w:p w:rsidR="00D61AFD" w:rsidRPr="00AD165E" w:rsidRDefault="00D61AFD" w:rsidP="000B3C73">
      <w:pPr>
        <w:pStyle w:val="Sinespaciado"/>
        <w:jc w:val="both"/>
        <w:rPr>
          <w:rFonts w:ascii="Avenir-Book" w:hAnsi="Avenir-Book" w:cs="Arial"/>
        </w:rPr>
      </w:pPr>
    </w:p>
    <w:p w:rsidR="000B3C73" w:rsidRPr="00AD165E" w:rsidRDefault="000B3C73" w:rsidP="000B3C73">
      <w:pPr>
        <w:pStyle w:val="Sinespaciado"/>
        <w:jc w:val="both"/>
        <w:rPr>
          <w:rFonts w:ascii="Avenir-Book" w:hAnsi="Avenir-Book" w:cs="Arial"/>
        </w:rPr>
      </w:pPr>
      <w:r w:rsidRPr="00AD165E">
        <w:rPr>
          <w:rFonts w:ascii="Avenir-Book" w:hAnsi="Avenir-Book" w:cs="Arial"/>
        </w:rPr>
        <w:t>Los recursos remanentes provenientes de ahorros o economías y subejercicios presupuestarios que al cierre del ejercicio no se hubieren devengado, deberán concentrarse invariablemente en la Tesorería Municipal.</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al</w:t>
      </w:r>
      <w:r w:rsidR="000B3C73" w:rsidRPr="00AD165E">
        <w:rPr>
          <w:rFonts w:ascii="Avenir-Book" w:hAnsi="Avenir-Book" w:cs="Arial"/>
          <w:b/>
          <w:bCs/>
          <w:i/>
          <w:color w:val="auto"/>
          <w:sz w:val="16"/>
          <w:szCs w:val="16"/>
          <w:lang w:eastAsia="es-MX"/>
        </w:rPr>
        <w:t xml:space="preserve"> Criterio 84 del Catálogo de Criterios de Evaluación para la Elaboración del índice de Información Presupuestal Municipal (IIPM) 2017 del Instituto Mexicano para la Competitividad, A.C.</w:t>
      </w:r>
    </w:p>
    <w:p w:rsidR="00F13FBC" w:rsidRPr="00AD165E" w:rsidRDefault="00F13FBC" w:rsidP="000B3C73">
      <w:pPr>
        <w:autoSpaceDE w:val="0"/>
        <w:autoSpaceDN w:val="0"/>
        <w:adjustRightInd w:val="0"/>
        <w:jc w:val="both"/>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i/>
          <w:sz w:val="22"/>
          <w:szCs w:val="22"/>
        </w:rPr>
      </w:pPr>
      <w:r w:rsidRPr="00AD165E">
        <w:rPr>
          <w:rFonts w:ascii="Avenir-Book" w:hAnsi="Avenir-Book" w:cs="Arial"/>
          <w:b/>
          <w:sz w:val="22"/>
          <w:szCs w:val="22"/>
        </w:rPr>
        <w:t>Artículo 33</w:t>
      </w:r>
      <w:r w:rsidR="000B3C73" w:rsidRPr="00AD165E">
        <w:rPr>
          <w:rFonts w:ascii="Avenir-Book" w:hAnsi="Avenir-Book" w:cs="Arial"/>
          <w:b/>
          <w:sz w:val="22"/>
          <w:szCs w:val="22"/>
        </w:rPr>
        <w:t>.-</w:t>
      </w:r>
      <w:r w:rsidR="000B3C73" w:rsidRPr="00AD165E">
        <w:rPr>
          <w:rFonts w:ascii="Avenir-Book" w:hAnsi="Avenir-Book" w:cs="Arial"/>
          <w:sz w:val="22"/>
          <w:szCs w:val="22"/>
        </w:rPr>
        <w:t>La administración y gasto de ingresos excedentes, estará en función de los señalado en el Artículo 304 del Código Fiscal y Presupuestario para el Municipio de Puebla, que a la letra dice: “</w:t>
      </w:r>
      <w:r w:rsidR="000B3C73" w:rsidRPr="00AD165E">
        <w:rPr>
          <w:rFonts w:ascii="Avenir-Book" w:hAnsi="Avenir-Book" w:cs="Arial"/>
          <w:i/>
          <w:sz w:val="22"/>
          <w:szCs w:val="22"/>
        </w:rPr>
        <w:t>El Presidente por conducto del Titular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p>
    <w:p w:rsidR="000B3C73" w:rsidRPr="00AD165E" w:rsidRDefault="000B3C73" w:rsidP="000B3C73">
      <w:pPr>
        <w:autoSpaceDE w:val="0"/>
        <w:autoSpaceDN w:val="0"/>
        <w:adjustRightInd w:val="0"/>
        <w:jc w:val="both"/>
        <w:rPr>
          <w:rFonts w:ascii="Avenir-Book" w:hAnsi="Avenir-Book" w:cs="Arial"/>
          <w:sz w:val="22"/>
          <w:szCs w:val="22"/>
          <w:lang w:eastAsia="es-MX"/>
        </w:rPr>
      </w:pPr>
    </w:p>
    <w:p w:rsidR="000B3C73" w:rsidRPr="00AD165E" w:rsidRDefault="000B3C73" w:rsidP="000B3C73">
      <w:pPr>
        <w:jc w:val="both"/>
        <w:rPr>
          <w:rFonts w:ascii="Avenir-Book" w:hAnsi="Avenir-Book" w:cs="Arial"/>
          <w:i/>
          <w:sz w:val="22"/>
          <w:szCs w:val="22"/>
        </w:rPr>
      </w:pPr>
      <w:r w:rsidRPr="00AD165E">
        <w:rPr>
          <w:rFonts w:ascii="Avenir-Book" w:hAnsi="Avenir-Book" w:cs="Arial"/>
          <w:sz w:val="22"/>
          <w:szCs w:val="22"/>
        </w:rPr>
        <w:t>Asimismo, el Reglamento de este Código en su Artículo 22 fracción XLV establece la competencia del Tesorero para: “</w:t>
      </w:r>
      <w:r w:rsidRPr="00AD165E">
        <w:rPr>
          <w:rFonts w:ascii="Avenir-Book" w:hAnsi="Avenir-Book" w:cs="Arial"/>
          <w:i/>
          <w:sz w:val="22"/>
          <w:szCs w:val="22"/>
        </w:rPr>
        <w:t>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i/>
        </w:rPr>
      </w:pPr>
    </w:p>
    <w:p w:rsidR="000B3C73" w:rsidRPr="00AD165E" w:rsidRDefault="000B3C73" w:rsidP="00041F46">
      <w:pPr>
        <w:pStyle w:val="Prrafodelista"/>
        <w:tabs>
          <w:tab w:val="left" w:pos="142"/>
          <w:tab w:val="left" w:pos="284"/>
          <w:tab w:val="left" w:pos="709"/>
        </w:tabs>
        <w:autoSpaceDE w:val="0"/>
        <w:autoSpaceDN w:val="0"/>
        <w:adjustRightInd w:val="0"/>
        <w:spacing w:after="0" w:line="240" w:lineRule="auto"/>
        <w:ind w:left="0"/>
        <w:jc w:val="both"/>
        <w:rPr>
          <w:rFonts w:ascii="Avenir-Book" w:hAnsi="Avenir-Book" w:cs="Arial"/>
        </w:rPr>
      </w:pPr>
      <w:r w:rsidRPr="00AD165E">
        <w:rPr>
          <w:rFonts w:ascii="Avenir-Book" w:hAnsi="Avenir-Book" w:cs="Arial"/>
        </w:rPr>
        <w:t xml:space="preserve">Adicionalmente, con base en el artículo 9 fracción XLIV del Reglamento Interior de la Tesorería Municipal, el Tesorero en ejercicio de sus atribuciones, tendrá la de asignar los recursos que se obtengan en exceso, según lo previsto en el Presupuesto de Egresos del Municipio, a los programas que considere convenientes y autorizar los traspasos de Partidas y Capítulos, evidentemente en apego a la normatividad aplicable al caso concreto. </w:t>
      </w:r>
    </w:p>
    <w:p w:rsidR="00041F46" w:rsidRPr="00AD165E" w:rsidRDefault="00041F46"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w:t>
      </w:r>
      <w:r w:rsidR="000B3C73" w:rsidRPr="00AD165E">
        <w:rPr>
          <w:rFonts w:ascii="Avenir-Book" w:hAnsi="Avenir-Book" w:cs="Arial"/>
          <w:b/>
          <w:bCs/>
          <w:i/>
          <w:color w:val="auto"/>
          <w:sz w:val="16"/>
          <w:szCs w:val="16"/>
          <w:lang w:eastAsia="es-MX"/>
        </w:rPr>
        <w:t xml:space="preserve"> los Criterios 80 y 83 del Catálogo de Criterios de Evaluación para la Elaboración del índice de Información Presupuestal Municipal (IIPM) 2017 del Instituto Mexicano para la Competitividad, A.C.</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34</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 Presidencia Municipal, la Secretaría de Gobernación y la Tesorería Municipal, determinarán </w:t>
      </w:r>
      <w:r w:rsidR="002174E1" w:rsidRPr="00AD165E">
        <w:rPr>
          <w:rFonts w:ascii="Avenir-Book" w:hAnsi="Avenir-Book" w:cs="Arial"/>
          <w:sz w:val="22"/>
          <w:szCs w:val="22"/>
        </w:rPr>
        <w:t>de acuerdo con el</w:t>
      </w:r>
      <w:r w:rsidR="000B3C73" w:rsidRPr="00AD165E">
        <w:rPr>
          <w:rFonts w:ascii="Avenir-Book" w:hAnsi="Avenir-Book" w:cs="Arial"/>
          <w:sz w:val="22"/>
          <w:szCs w:val="22"/>
        </w:rPr>
        <w:t xml:space="preserve"> Presupuesto de Egresos aprobado, el monto anual del subsidio que se asignará a las Juntas Auxiliares y Organismos Auxiliares.</w:t>
      </w:r>
    </w:p>
    <w:p w:rsidR="00041F46" w:rsidRPr="00AD165E" w:rsidRDefault="00041F46"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Las variaciones a los subsidios que impliquen adecuaciones presupuestarias en el alcance a sus programas serán autorizadas por la Tesorería Municipal.</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pStyle w:val="Sinespaciado"/>
        <w:jc w:val="both"/>
        <w:rPr>
          <w:rFonts w:ascii="Avenir-Book" w:hAnsi="Avenir-Book" w:cs="Arial"/>
        </w:rPr>
      </w:pPr>
      <w:r w:rsidRPr="00AD165E">
        <w:rPr>
          <w:rFonts w:ascii="Avenir-Book" w:hAnsi="Avenir-Book" w:cs="Arial"/>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0B3C73" w:rsidRPr="00AD165E" w:rsidRDefault="000B3C73" w:rsidP="000B3C73">
      <w:pPr>
        <w:pStyle w:val="Sinespaciado"/>
        <w:jc w:val="both"/>
        <w:rPr>
          <w:rFonts w:ascii="Avenir-Book" w:hAnsi="Avenir-Book" w:cs="Arial"/>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sz w:val="16"/>
          <w:szCs w:val="16"/>
          <w:lang w:eastAsia="es-MX"/>
        </w:rPr>
      </w:pPr>
      <w:r w:rsidRPr="00AD165E">
        <w:rPr>
          <w:rFonts w:ascii="Avenir-Book" w:hAnsi="Avenir-Book" w:cs="Arial"/>
          <w:b/>
          <w:bCs/>
          <w:i/>
          <w:sz w:val="16"/>
          <w:szCs w:val="16"/>
          <w:lang w:eastAsia="es-MX"/>
        </w:rPr>
        <w:t>Nota: se incluye para dar cumplimiento al Criterio 82 del Catálogo de Criterios de Evaluación para la Elaboración del índice de Información Presupuestal Municipal (IIPM) 2017 del Instituto Mexicano para la Competitividad, A.C.</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V</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LOS DERECHOS DE LAS NIÑAS, NIÑOS Y ADOLESCENTES</w:t>
      </w:r>
    </w:p>
    <w:p w:rsidR="000B3C73" w:rsidRPr="00AD165E" w:rsidRDefault="000B3C73" w:rsidP="000B3C73">
      <w:pPr>
        <w:pStyle w:val="Default"/>
        <w:tabs>
          <w:tab w:val="left" w:pos="284"/>
        </w:tabs>
        <w:spacing w:line="276" w:lineRule="auto"/>
        <w:rPr>
          <w:rFonts w:ascii="Avenir-Book" w:hAnsi="Avenir-Book" w:cs="Arial"/>
          <w:b/>
          <w:bCs/>
          <w:color w:val="auto"/>
          <w:sz w:val="22"/>
          <w:szCs w:val="22"/>
          <w:highlight w:val="yellow"/>
          <w:lang w:eastAsia="es-MX"/>
        </w:rPr>
      </w:pPr>
    </w:p>
    <w:p w:rsidR="000B3C73" w:rsidRPr="00AD165E" w:rsidRDefault="00CA5E2C" w:rsidP="000B3C73">
      <w:pPr>
        <w:pStyle w:val="Prrafodelista"/>
        <w:autoSpaceDE w:val="0"/>
        <w:autoSpaceDN w:val="0"/>
        <w:adjustRightInd w:val="0"/>
        <w:spacing w:after="0"/>
        <w:ind w:left="0"/>
        <w:jc w:val="both"/>
        <w:rPr>
          <w:rFonts w:ascii="Avenir-Book" w:hAnsi="Avenir-Book" w:cs="Arial"/>
        </w:rPr>
      </w:pPr>
      <w:r w:rsidRPr="00AD165E">
        <w:rPr>
          <w:rFonts w:ascii="Avenir-Book" w:hAnsi="Avenir-Book" w:cs="Arial"/>
          <w:b/>
        </w:rPr>
        <w:t>Artículo 35</w:t>
      </w:r>
      <w:r w:rsidR="000B3C73" w:rsidRPr="00AD165E">
        <w:rPr>
          <w:rFonts w:ascii="Avenir-Book" w:hAnsi="Avenir-Book" w:cs="Arial"/>
          <w:b/>
        </w:rPr>
        <w:t xml:space="preserve">.- </w:t>
      </w:r>
      <w:r w:rsidR="000B3C73" w:rsidRPr="00AD165E">
        <w:rPr>
          <w:rFonts w:ascii="Avenir-Book" w:hAnsi="Avenir-Book" w:cs="Arial"/>
        </w:rPr>
        <w:t xml:space="preserve">El Municipio de Puebla atendiendo las </w:t>
      </w:r>
      <w:r w:rsidR="00EC1D76" w:rsidRPr="00AD165E">
        <w:rPr>
          <w:rFonts w:ascii="Avenir-Book" w:hAnsi="Avenir-Book" w:cs="Arial"/>
        </w:rPr>
        <w:t xml:space="preserve">necesidades </w:t>
      </w:r>
      <w:r w:rsidR="000B3C73" w:rsidRPr="00AD165E">
        <w:rPr>
          <w:rFonts w:ascii="Avenir-Book" w:hAnsi="Avenir-Book" w:cs="Arial"/>
        </w:rPr>
        <w:t xml:space="preserve">que requiere la Infancia y la Adolescencia </w:t>
      </w:r>
      <w:r w:rsidR="00DE7B0F" w:rsidRPr="00AD165E">
        <w:rPr>
          <w:rFonts w:ascii="Avenir-Book" w:hAnsi="Avenir-Book" w:cs="Arial"/>
        </w:rPr>
        <w:t xml:space="preserve">de </w:t>
      </w:r>
      <w:r w:rsidR="000B3C73" w:rsidRPr="00AD165E">
        <w:rPr>
          <w:rFonts w:ascii="Avenir-Book" w:hAnsi="Avenir-Book" w:cs="Arial"/>
        </w:rPr>
        <w:t>la Capital, ha incluido en el Presupuesto de Egresos 2019,</w:t>
      </w:r>
      <w:r w:rsidR="00EC1D76" w:rsidRPr="00AD165E">
        <w:rPr>
          <w:rFonts w:ascii="Avenir-Book" w:hAnsi="Avenir-Book" w:cs="Arial"/>
        </w:rPr>
        <w:t xml:space="preserve"> los programas presupuestarios </w:t>
      </w:r>
      <w:r w:rsidR="00AB42A6" w:rsidRPr="00AD165E">
        <w:rPr>
          <w:rFonts w:ascii="Avenir-Book" w:hAnsi="Avenir-Book" w:cs="Arial"/>
        </w:rPr>
        <w:t xml:space="preserve">a fin de favorecer </w:t>
      </w:r>
      <w:r w:rsidR="000B3C73" w:rsidRPr="00AD165E">
        <w:rPr>
          <w:rFonts w:ascii="Avenir-Book" w:hAnsi="Avenir-Book" w:cs="Arial"/>
        </w:rPr>
        <w:t xml:space="preserve">el desarrollo </w:t>
      </w:r>
      <w:r w:rsidR="002356EE" w:rsidRPr="00AD165E">
        <w:rPr>
          <w:rFonts w:ascii="Avenir-Book" w:hAnsi="Avenir-Book" w:cs="Arial"/>
        </w:rPr>
        <w:t xml:space="preserve">de </w:t>
      </w:r>
      <w:r w:rsidR="000B3C73" w:rsidRPr="00AD165E">
        <w:rPr>
          <w:rFonts w:ascii="Avenir-Book" w:hAnsi="Avenir-Book" w:cs="Arial"/>
        </w:rPr>
        <w:t xml:space="preserve">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sidR="00084974" w:rsidRPr="00AD165E">
        <w:rPr>
          <w:rFonts w:ascii="Avenir-Book" w:eastAsia="Times New Roman" w:hAnsi="Avenir-Book" w:cs="Arial"/>
          <w:lang w:eastAsia="es-MX"/>
        </w:rPr>
        <w:t>$597,074,870.00</w:t>
      </w:r>
      <w:r w:rsidR="000B3C73" w:rsidRPr="00AD165E">
        <w:rPr>
          <w:rFonts w:ascii="Avenir-Book" w:hAnsi="Avenir-Book" w:cs="Arial"/>
        </w:rPr>
        <w:t xml:space="preserve"> información que se incluye en el </w:t>
      </w:r>
      <w:r w:rsidR="000B3C73" w:rsidRPr="00AD165E">
        <w:rPr>
          <w:rFonts w:ascii="Avenir-Book" w:hAnsi="Avenir-Book" w:cs="Arial"/>
          <w:b/>
        </w:rPr>
        <w:t>C</w:t>
      </w:r>
      <w:r w:rsidR="00A532EA" w:rsidRPr="00AD165E">
        <w:rPr>
          <w:rFonts w:ascii="Avenir-Book" w:hAnsi="Avenir-Book" w:cs="Arial"/>
          <w:b/>
          <w:i/>
        </w:rPr>
        <w:t>uadro 33</w:t>
      </w:r>
      <w:r w:rsidR="000B3C73" w:rsidRPr="00AD165E">
        <w:rPr>
          <w:rFonts w:ascii="Avenir-Book" w:hAnsi="Avenir-Book" w:cs="Arial"/>
          <w:b/>
          <w:i/>
        </w:rPr>
        <w:t xml:space="preserve"> del </w:t>
      </w:r>
      <w:r w:rsidR="00941DC9" w:rsidRPr="00AD165E">
        <w:rPr>
          <w:rFonts w:ascii="Avenir-Book" w:hAnsi="Avenir-Book" w:cs="Arial"/>
          <w:b/>
          <w:i/>
        </w:rPr>
        <w:t>Anexo 1</w:t>
      </w:r>
      <w:r w:rsidR="000B3C73" w:rsidRPr="00AD165E">
        <w:rPr>
          <w:rFonts w:ascii="Avenir-Book" w:hAnsi="Avenir-Book" w:cs="Arial"/>
          <w:b/>
          <w:i/>
        </w:rPr>
        <w:t xml:space="preserve"> del Presupuesto de Egresos.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Cs/>
          <w:lang w:eastAsia="es-MX"/>
        </w:rPr>
        <w:t>Para mayor claridad en la definición de los montos asignados en el anexo transversal se describen a continuación los criterios utilizados para el cálculo del monto del proyecto destinado a la infancia y adolescencia:</w:t>
      </w:r>
    </w:p>
    <w:p w:rsidR="00EC1D76" w:rsidRPr="00AD165E" w:rsidRDefault="00EC1D76"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 xml:space="preserve">Criterio 1. Cuando el 100% de la población beneficiada es menor de 18 años y/o agentes, </w:t>
      </w:r>
      <w:r w:rsidRPr="00AD165E">
        <w:rPr>
          <w:rFonts w:ascii="Avenir-Book" w:eastAsia="Times New Roman" w:hAnsi="Avenir-Book" w:cs="Arial"/>
          <w:bCs/>
          <w:lang w:eastAsia="es-MX"/>
        </w:rPr>
        <w:t>es decir la totalidad de las acciones realizadas por el proyecto u acción son dirigidas a menores de 18 años y/o agentes que actúen en su beneficio, por lo que en este caso se tomó el 100% del presupuesto ejercido.</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Criterio 2.</w:t>
      </w:r>
      <w:r w:rsidR="002174E1">
        <w:rPr>
          <w:rFonts w:ascii="Avenir-Book" w:eastAsia="Times New Roman" w:hAnsi="Avenir-Book" w:cs="Arial"/>
          <w:b/>
          <w:bCs/>
          <w:lang w:eastAsia="es-MX"/>
        </w:rPr>
        <w:t xml:space="preserve"> </w:t>
      </w:r>
      <w:r w:rsidRPr="00AD165E">
        <w:rPr>
          <w:rFonts w:ascii="Avenir-Book" w:eastAsia="Times New Roman" w:hAnsi="Avenir-Book" w:cs="Arial"/>
          <w:b/>
          <w:bCs/>
          <w:lang w:eastAsia="es-MX"/>
        </w:rPr>
        <w:t>Cuando se beneficia a todo el municipio y se toma la proporción de los menores de 18 años que habitan en este</w:t>
      </w:r>
      <w:r w:rsidRPr="00AD165E">
        <w:rPr>
          <w:rFonts w:ascii="Avenir-Book" w:eastAsia="Times New Roman" w:hAnsi="Avenir-Book" w:cs="Arial"/>
          <w:bCs/>
          <w:lang w:eastAsia="es-MX"/>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 xml:space="preserve">Criterio 3. Cuando hay una población potencial/objetivo/atendida y se debe definir el porcentaje de población de menos de 18 años atendidos, </w:t>
      </w:r>
      <w:r w:rsidRPr="00AD165E">
        <w:rPr>
          <w:rFonts w:ascii="Avenir-Book" w:eastAsia="Times New Roman" w:hAnsi="Avenir-Book" w:cs="Arial"/>
          <w:bCs/>
          <w:lang w:eastAsia="es-MX"/>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rsidR="00795F30" w:rsidRPr="00AD165E" w:rsidRDefault="00795F30" w:rsidP="00070431">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VI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 DEUDA PÚBLICA</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bCs/>
          <w:sz w:val="22"/>
          <w:szCs w:val="22"/>
          <w:lang w:eastAsia="es-MX"/>
        </w:rPr>
        <w:t>Artículo 36</w:t>
      </w:r>
      <w:r w:rsidR="000B3C73" w:rsidRPr="00AD165E">
        <w:rPr>
          <w:rFonts w:ascii="Avenir-Book" w:hAnsi="Avenir-Book" w:cs="Arial"/>
          <w:b/>
          <w:bCs/>
          <w:sz w:val="22"/>
          <w:szCs w:val="22"/>
          <w:lang w:eastAsia="es-MX"/>
        </w:rPr>
        <w:t>.-</w:t>
      </w:r>
      <w:r w:rsidR="00B9217E" w:rsidRPr="00AD165E">
        <w:rPr>
          <w:rFonts w:ascii="Avenir-Book" w:hAnsi="Avenir-Book" w:cs="Arial"/>
          <w:bCs/>
          <w:sz w:val="22"/>
          <w:szCs w:val="22"/>
          <w:lang w:eastAsia="es-MX"/>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del 15 por ciento de los Ingresos de libre disposición establecidos en la Ley de Ingresos del Municipio, de acuerdo a la clasificación que se tenga como resultado de la medición del Sistema de Alertas que emite la Secretaría de Hacienda y Crédito Público.</w:t>
      </w:r>
    </w:p>
    <w:p w:rsidR="00B9217E" w:rsidRPr="00AD165E" w:rsidRDefault="00B9217E" w:rsidP="00B9217E">
      <w:pPr>
        <w:jc w:val="both"/>
        <w:rPr>
          <w:rFonts w:ascii="Avenir-Book" w:hAnsi="Avenir-Book" w:cs="Arial"/>
          <w:b/>
          <w:sz w:val="22"/>
          <w:szCs w:val="22"/>
          <w:highlight w:val="cyan"/>
        </w:rPr>
      </w:pPr>
    </w:p>
    <w:p w:rsidR="00B9217E" w:rsidRDefault="00CA5E2C" w:rsidP="00B9217E">
      <w:pPr>
        <w:jc w:val="both"/>
        <w:rPr>
          <w:rFonts w:ascii="Avenir-Book" w:hAnsi="Avenir-Book" w:cs="Arial"/>
          <w:bCs/>
          <w:sz w:val="22"/>
          <w:szCs w:val="22"/>
          <w:lang w:eastAsia="es-MX"/>
        </w:rPr>
      </w:pPr>
      <w:r w:rsidRPr="00AD165E">
        <w:rPr>
          <w:rFonts w:ascii="Avenir-Book" w:hAnsi="Avenir-Book" w:cs="Arial"/>
          <w:b/>
          <w:sz w:val="22"/>
          <w:szCs w:val="22"/>
        </w:rPr>
        <w:t>Artículo 37</w:t>
      </w:r>
      <w:r w:rsidR="000B3C73" w:rsidRPr="00AD165E">
        <w:rPr>
          <w:rFonts w:ascii="Avenir-Book" w:hAnsi="Avenir-Book" w:cs="Arial"/>
          <w:b/>
          <w:sz w:val="22"/>
          <w:szCs w:val="22"/>
        </w:rPr>
        <w:t xml:space="preserve">.- </w:t>
      </w:r>
      <w:r w:rsidR="00B9217E" w:rsidRPr="00AD165E">
        <w:rPr>
          <w:rFonts w:ascii="Avenir-Book" w:hAnsi="Avenir-Book" w:cs="Arial"/>
          <w:bCs/>
          <w:sz w:val="22"/>
          <w:szCs w:val="22"/>
          <w:lang w:eastAsia="es-MX"/>
        </w:rPr>
        <w:t>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rsidR="002174E1" w:rsidRPr="00AD165E" w:rsidRDefault="002174E1"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Las Entidades de la Administración Pública Municipal que pretendan contratar deuda pública, determinarán de sus presupuestos de egresos, las cantidades que destinarán a las amortizaciones que deban realizar en el Ejercicio Fiscal, previo cumplimiento de las disposiciones establecidas en la Ley de Disciplina Financiera de las Entidades Federativas y los Municipios, en materia de contratación de deuda.</w:t>
      </w:r>
    </w:p>
    <w:p w:rsidR="00B9217E" w:rsidRPr="00AD165E" w:rsidRDefault="00B9217E" w:rsidP="00B9217E">
      <w:pPr>
        <w:jc w:val="both"/>
        <w:rPr>
          <w:rFonts w:ascii="Avenir-Book" w:hAnsi="Avenir-Book" w:cs="Arial"/>
          <w:b/>
          <w:sz w:val="22"/>
          <w:szCs w:val="22"/>
          <w:highlight w:val="cyan"/>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sz w:val="22"/>
          <w:szCs w:val="22"/>
        </w:rPr>
        <w:t>Artículo 38</w:t>
      </w:r>
      <w:r w:rsidR="000B3C73" w:rsidRPr="00AD165E">
        <w:rPr>
          <w:rFonts w:ascii="Avenir-Book" w:hAnsi="Avenir-Book" w:cs="Arial"/>
          <w:b/>
          <w:sz w:val="22"/>
          <w:szCs w:val="22"/>
        </w:rPr>
        <w:t xml:space="preserve">.- </w:t>
      </w:r>
      <w:r w:rsidR="00B9217E" w:rsidRPr="00AD165E">
        <w:rPr>
          <w:rFonts w:ascii="Avenir-Book" w:hAnsi="Avenir-Book" w:cs="Arial"/>
          <w:bCs/>
          <w:sz w:val="22"/>
          <w:szCs w:val="22"/>
          <w:lang w:eastAsia="es-MX"/>
        </w:rPr>
        <w:t>En caso de que durante el presente ejercicio fiscal se pretenda la contratación de Obligaciones o Financiamientos a través de la Tesorería o de las Entidades de la Administración Pública Municipal, de conformidad con la legislación vigente en la materia y el Decreto correspondiente que emita el Congreso del Estado, solo podrán contratarse cuando se destinen a Inversiones Públicas Productivas y a Refinanciamientos o Reestructura, mismas que deberán realizarse bajo las mejores condiciones del mercado, conforme a las bases que establezca la legislación aplicable vigente y por los conceptos y hasta por los montos que el Congreso del Estado apruebe, sin perjuicio de las cantidades que se encuentren disponibles en las autorizaciones vigentes emitidas.</w:t>
      </w:r>
    </w:p>
    <w:p w:rsidR="00723F7F" w:rsidRPr="00AD165E" w:rsidRDefault="00723F7F"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 xml:space="preserve">Asimismo, las Dependencias y Entidades de la Administración Pública Municipal que pretendan la contratación de deuda, deberán remitir a la Tesorería Municipal la iniciativa de ingreso o compensación con reducciones a otras previsiones de gasto, de tal forma que se soporte la creación del gasto del Presupuesto de Egresos.   </w:t>
      </w:r>
    </w:p>
    <w:p w:rsidR="00723F7F" w:rsidRPr="00AD165E" w:rsidRDefault="00723F7F"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Por lo anterior, la Tesorería Municipal previa disponibilidad presupuestal, podrá destinar recursos públicos del Presupuesto de Egresos del Municipio aprobado para cubrir las erogaciones que resulten de la contratación de financiamientos y que deban ser amortizados durante el Ejercicio Fiscal.</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highlight w:val="cyan"/>
          <w:lang w:eastAsia="es-MX"/>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bCs/>
          <w:sz w:val="22"/>
          <w:szCs w:val="22"/>
          <w:lang w:eastAsia="es-MX"/>
        </w:rPr>
        <w:t>Artículo 39</w:t>
      </w:r>
      <w:r w:rsidR="000B3C73" w:rsidRPr="00AD165E">
        <w:rPr>
          <w:rFonts w:ascii="Avenir-Book" w:hAnsi="Avenir-Book" w:cs="Arial"/>
          <w:b/>
          <w:bCs/>
          <w:sz w:val="22"/>
          <w:szCs w:val="22"/>
          <w:lang w:eastAsia="es-MX"/>
        </w:rPr>
        <w:t>.-</w:t>
      </w:r>
      <w:r w:rsidR="00B9217E" w:rsidRPr="00AD165E">
        <w:rPr>
          <w:rFonts w:ascii="Avenir-Book" w:hAnsi="Avenir-Book" w:cs="Arial"/>
          <w:bCs/>
          <w:sz w:val="22"/>
          <w:szCs w:val="22"/>
          <w:lang w:eastAsia="es-MX"/>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modificación al perfil de amortizaciones, reducción de la tasa de interés, de comisiones y gastos adicionales, o cualquier combinación entre ellas.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highlight w:val="cyan"/>
          <w:lang w:val="es-ES" w:eastAsia="es-MX"/>
        </w:rPr>
      </w:pPr>
    </w:p>
    <w:p w:rsidR="00B9217E" w:rsidRPr="00AD165E" w:rsidRDefault="00B9217E" w:rsidP="00B9217E">
      <w:pPr>
        <w:autoSpaceDE w:val="0"/>
        <w:autoSpaceDN w:val="0"/>
        <w:adjustRightInd w:val="0"/>
        <w:jc w:val="both"/>
        <w:rPr>
          <w:rFonts w:ascii="Avenir-Book" w:hAnsi="Avenir-Book" w:cs="Arial"/>
          <w:bCs/>
          <w:sz w:val="22"/>
          <w:szCs w:val="22"/>
          <w:lang w:eastAsia="es-MX"/>
        </w:rPr>
      </w:pPr>
      <w:r w:rsidRPr="00AD165E">
        <w:rPr>
          <w:rFonts w:ascii="Avenir-Book" w:hAnsi="Avenir-Book" w:cs="Arial"/>
          <w:b/>
          <w:bCs/>
          <w:sz w:val="22"/>
          <w:szCs w:val="22"/>
          <w:lang w:eastAsia="es-MX"/>
        </w:rPr>
        <w:t>Artículo 40.-</w:t>
      </w:r>
      <w:r w:rsidRPr="00AD165E">
        <w:rPr>
          <w:rFonts w:ascii="Avenir-Book" w:hAnsi="Avenir-Book" w:cs="Arial"/>
          <w:bCs/>
          <w:sz w:val="22"/>
          <w:szCs w:val="22"/>
          <w:lang w:eastAsia="es-MX"/>
        </w:rPr>
        <w:t xml:space="preserve"> El Ejecutivo 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sidR="00767C5B" w:rsidRPr="00AD165E">
        <w:rPr>
          <w:rFonts w:ascii="Avenir-Book" w:hAnsi="Avenir-Book" w:cs="Arial"/>
          <w:b/>
          <w:bCs/>
          <w:i/>
          <w:sz w:val="22"/>
          <w:szCs w:val="22"/>
          <w:lang w:eastAsia="es-MX"/>
        </w:rPr>
        <w:t xml:space="preserve">Gráfica 5, Cuadros 34 y 35 </w:t>
      </w:r>
      <w:r w:rsidRPr="00AD165E">
        <w:rPr>
          <w:rFonts w:ascii="Avenir-Book" w:hAnsi="Avenir-Book" w:cs="Arial"/>
          <w:b/>
          <w:bCs/>
          <w:i/>
          <w:sz w:val="22"/>
          <w:szCs w:val="22"/>
          <w:lang w:eastAsia="es-MX"/>
        </w:rPr>
        <w:t xml:space="preserve">del </w:t>
      </w:r>
      <w:r w:rsidR="00941DC9" w:rsidRPr="00AD165E">
        <w:rPr>
          <w:rFonts w:ascii="Avenir-Book" w:hAnsi="Avenir-Book" w:cs="Arial"/>
          <w:b/>
          <w:bCs/>
          <w:i/>
          <w:sz w:val="22"/>
          <w:szCs w:val="22"/>
          <w:lang w:eastAsia="es-MX"/>
        </w:rPr>
        <w:t>Anexo 1</w:t>
      </w:r>
      <w:r w:rsidRPr="00AD165E">
        <w:rPr>
          <w:rFonts w:ascii="Avenir-Book" w:hAnsi="Avenir-Book" w:cs="Arial"/>
          <w:b/>
          <w:bCs/>
          <w:i/>
          <w:sz w:val="22"/>
          <w:szCs w:val="22"/>
          <w:lang w:eastAsia="es-MX"/>
        </w:rPr>
        <w:t xml:space="preserve"> del Presupuesto de Egresos.</w:t>
      </w:r>
    </w:p>
    <w:p w:rsidR="00B9217E" w:rsidRPr="00AD165E" w:rsidRDefault="00B9217E" w:rsidP="00B9217E">
      <w:pPr>
        <w:autoSpaceDE w:val="0"/>
        <w:autoSpaceDN w:val="0"/>
        <w:adjustRightInd w:val="0"/>
        <w:jc w:val="both"/>
        <w:rPr>
          <w:rFonts w:ascii="Avenir-Book" w:hAnsi="Avenir-Book" w:cs="Arial"/>
          <w:bCs/>
          <w:sz w:val="22"/>
          <w:szCs w:val="22"/>
          <w:lang w:eastAsia="es-MX"/>
        </w:rPr>
      </w:pPr>
    </w:p>
    <w:p w:rsidR="00804EAE" w:rsidRPr="00AD165E" w:rsidRDefault="00B9217E" w:rsidP="002356EE">
      <w:pPr>
        <w:autoSpaceDE w:val="0"/>
        <w:autoSpaceDN w:val="0"/>
        <w:adjustRightInd w:val="0"/>
        <w:jc w:val="both"/>
        <w:rPr>
          <w:rFonts w:ascii="Avenir-Book" w:hAnsi="Avenir-Book" w:cs="Arial"/>
          <w:bCs/>
          <w:sz w:val="22"/>
          <w:szCs w:val="22"/>
          <w:lang w:eastAsia="es-MX"/>
        </w:rPr>
      </w:pPr>
      <w:r w:rsidRPr="00AD165E">
        <w:rPr>
          <w:rFonts w:ascii="Avenir-Book" w:hAnsi="Avenir-Book" w:cs="Arial"/>
          <w:bCs/>
          <w:sz w:val="22"/>
          <w:szCs w:val="22"/>
          <w:lang w:eastAsia="es-MX"/>
        </w:rPr>
        <w:t>Lo establecido en el presente capítulo no contraviene las disposiciones de la Ley de Disciplina Financiera de las Entidades Federativas y los Municipios, por lo que, en su caso, durante el ejercicio fiscal 2019, el Municipio y sus Entidades, deberán observar lo previsto en la Ley en comento, evitando incurrir en actos u omisiones que impliquen incumplimiento y sus respectivas sanciones.</w:t>
      </w:r>
    </w:p>
    <w:p w:rsidR="00723F7F" w:rsidRPr="00AD165E" w:rsidRDefault="00723F7F" w:rsidP="000B3C73">
      <w:pPr>
        <w:autoSpaceDE w:val="0"/>
        <w:autoSpaceDN w:val="0"/>
        <w:adjustRightInd w:val="0"/>
        <w:jc w:val="both"/>
        <w:rPr>
          <w:rFonts w:ascii="Avenir-Book" w:hAnsi="Avenir-Book" w:cs="Arial"/>
          <w:sz w:val="22"/>
          <w:szCs w:val="22"/>
        </w:rPr>
      </w:pPr>
    </w:p>
    <w:p w:rsidR="000B3C73" w:rsidRPr="00AD165E" w:rsidRDefault="00E11AA8" w:rsidP="000B3C73">
      <w:pPr>
        <w:autoSpaceDE w:val="0"/>
        <w:autoSpaceDN w:val="0"/>
        <w:adjustRightInd w:val="0"/>
        <w:jc w:val="both"/>
        <w:rPr>
          <w:rFonts w:ascii="Avenir-Book" w:hAnsi="Avenir-Book" w:cs="Arial"/>
          <w:b/>
          <w:bCs/>
          <w:sz w:val="22"/>
          <w:szCs w:val="22"/>
        </w:rPr>
      </w:pPr>
      <w:r w:rsidRPr="00AD165E">
        <w:rPr>
          <w:rFonts w:ascii="Avenir-Book" w:hAnsi="Avenir-Book" w:cs="Arial"/>
          <w:sz w:val="22"/>
          <w:szCs w:val="22"/>
        </w:rPr>
        <w:t>Por</w:t>
      </w:r>
      <w:r w:rsidR="001B3004" w:rsidRPr="00AD165E">
        <w:rPr>
          <w:rFonts w:ascii="Avenir-Book" w:hAnsi="Avenir-Book" w:cs="Arial"/>
          <w:sz w:val="22"/>
          <w:szCs w:val="22"/>
        </w:rPr>
        <w:t xml:space="preserve"> lo</w:t>
      </w:r>
      <w:r w:rsidR="000B3C73" w:rsidRPr="00AD165E">
        <w:rPr>
          <w:rFonts w:ascii="Avenir-Book" w:hAnsi="Avenir-Book" w:cs="Arial"/>
          <w:sz w:val="22"/>
          <w:szCs w:val="22"/>
        </w:rPr>
        <w:t xml:space="preserve"> anteriormente expuesto</w:t>
      </w:r>
      <w:r w:rsidR="001B3004" w:rsidRPr="00AD165E">
        <w:rPr>
          <w:rFonts w:ascii="Avenir-Book" w:hAnsi="Avenir-Book" w:cs="Arial"/>
          <w:sz w:val="22"/>
          <w:szCs w:val="22"/>
        </w:rPr>
        <w:t xml:space="preserve"> y</w:t>
      </w:r>
      <w:r w:rsidR="000B3C73" w:rsidRPr="00AD165E">
        <w:rPr>
          <w:rFonts w:ascii="Avenir-Book" w:hAnsi="Avenir-Book" w:cs="Arial"/>
          <w:sz w:val="22"/>
          <w:szCs w:val="22"/>
        </w:rPr>
        <w:t xml:space="preserve"> </w:t>
      </w:r>
      <w:r w:rsidR="002174E1" w:rsidRPr="00AD165E">
        <w:rPr>
          <w:rFonts w:ascii="Avenir-Book" w:hAnsi="Avenir-Book" w:cs="Arial"/>
          <w:sz w:val="22"/>
          <w:szCs w:val="22"/>
        </w:rPr>
        <w:t>de acuerdo con</w:t>
      </w:r>
      <w:r w:rsidR="000B3C73" w:rsidRPr="00AD165E">
        <w:rPr>
          <w:rFonts w:ascii="Avenir-Book" w:hAnsi="Avenir-Book" w:cs="Arial"/>
          <w:sz w:val="22"/>
          <w:szCs w:val="22"/>
        </w:rPr>
        <w:t xml:space="preserve"> los ordenamientos legales mencionados en el proemio del documento en estudio, así los argumentos esgrimidos </w:t>
      </w:r>
      <w:r w:rsidR="00A54B2A" w:rsidRPr="00AD165E">
        <w:rPr>
          <w:rFonts w:ascii="Avenir-Book" w:hAnsi="Avenir-Book" w:cs="Arial"/>
          <w:sz w:val="22"/>
          <w:szCs w:val="22"/>
        </w:rPr>
        <w:t>en el cuerpo del presente dictamen,</w:t>
      </w:r>
      <w:r w:rsidR="00767C5B" w:rsidRPr="00AD165E">
        <w:rPr>
          <w:rFonts w:ascii="Avenir-Book" w:hAnsi="Avenir-Book" w:cs="Arial"/>
          <w:sz w:val="22"/>
          <w:szCs w:val="22"/>
        </w:rPr>
        <w:t xml:space="preserve"> </w:t>
      </w:r>
      <w:r w:rsidR="000B3C73" w:rsidRPr="00AD165E">
        <w:rPr>
          <w:rFonts w:ascii="Avenir-Book" w:hAnsi="Avenir-Book" w:cs="Arial"/>
          <w:sz w:val="22"/>
          <w:szCs w:val="22"/>
          <w:lang w:eastAsia="es-MX"/>
        </w:rPr>
        <w:t xml:space="preserve">los suscritos integrantes de la Comisión de Patrimonio y Hacienda Pública Municipal, sometemos a consideración y aprobación de este Honorable Cabildo del Municipio de Puebla, el Dictamen que </w:t>
      </w:r>
      <w:r w:rsidR="000B3C73" w:rsidRPr="00AD165E">
        <w:rPr>
          <w:rFonts w:ascii="Avenir-Book" w:hAnsi="Avenir-Book" w:cs="Arial"/>
          <w:sz w:val="22"/>
          <w:szCs w:val="22"/>
        </w:rPr>
        <w:t xml:space="preserve">contiene el </w:t>
      </w:r>
      <w:r w:rsidR="000B3C73" w:rsidRPr="00AD165E">
        <w:rPr>
          <w:rFonts w:ascii="Avenir-Book" w:hAnsi="Avenir-Book" w:cs="Arial"/>
          <w:b/>
          <w:sz w:val="22"/>
          <w:szCs w:val="22"/>
        </w:rPr>
        <w:t>Presupuesto de Egresos del Honorable Ayuntamiento del Municipio de Puebla</w:t>
      </w:r>
      <w:r w:rsidR="000B3C73" w:rsidRPr="00AD165E">
        <w:rPr>
          <w:rFonts w:ascii="Avenir-Book" w:hAnsi="Avenir-Book" w:cs="Arial"/>
          <w:sz w:val="22"/>
          <w:szCs w:val="22"/>
        </w:rPr>
        <w:t>, para el año 2019.</w:t>
      </w:r>
    </w:p>
    <w:p w:rsidR="00DB3897" w:rsidRPr="00AD165E" w:rsidRDefault="00DB3897" w:rsidP="006A63AE">
      <w:pPr>
        <w:autoSpaceDE w:val="0"/>
        <w:autoSpaceDN w:val="0"/>
        <w:adjustRightInd w:val="0"/>
        <w:rPr>
          <w:rFonts w:ascii="Avenir-Book" w:hAnsi="Avenir-Book" w:cs="Arial"/>
          <w:b/>
          <w:bCs/>
          <w:sz w:val="22"/>
          <w:szCs w:val="22"/>
        </w:rPr>
      </w:pPr>
    </w:p>
    <w:p w:rsidR="000B3C73" w:rsidRPr="00AD165E" w:rsidRDefault="000B3C73" w:rsidP="000B3C73">
      <w:pPr>
        <w:autoSpaceDE w:val="0"/>
        <w:autoSpaceDN w:val="0"/>
        <w:adjustRightInd w:val="0"/>
        <w:jc w:val="center"/>
        <w:rPr>
          <w:rFonts w:ascii="Avenir-Book" w:hAnsi="Avenir-Book" w:cs="Arial"/>
          <w:b/>
          <w:bCs/>
          <w:sz w:val="22"/>
          <w:szCs w:val="22"/>
        </w:rPr>
      </w:pPr>
      <w:r w:rsidRPr="00AD165E">
        <w:rPr>
          <w:rFonts w:ascii="Avenir-Book" w:hAnsi="Avenir-Book" w:cs="Arial"/>
          <w:b/>
          <w:bCs/>
          <w:sz w:val="22"/>
          <w:szCs w:val="22"/>
        </w:rPr>
        <w:t>D I C T A M E N</w:t>
      </w:r>
    </w:p>
    <w:p w:rsidR="000B3C73" w:rsidRPr="00AD165E" w:rsidRDefault="000B3C73" w:rsidP="000B3C73">
      <w:pPr>
        <w:autoSpaceDE w:val="0"/>
        <w:autoSpaceDN w:val="0"/>
        <w:adjustRightInd w:val="0"/>
        <w:jc w:val="center"/>
        <w:rPr>
          <w:rFonts w:ascii="Avenir-Book" w:hAnsi="Avenir-Book" w:cs="Arial"/>
          <w:b/>
          <w:bCs/>
          <w:sz w:val="22"/>
          <w:szCs w:val="22"/>
        </w:rPr>
      </w:pPr>
    </w:p>
    <w:p w:rsidR="000B3C73" w:rsidRPr="00AD165E" w:rsidRDefault="000B3C73" w:rsidP="000B3C73">
      <w:pPr>
        <w:autoSpaceDE w:val="0"/>
        <w:autoSpaceDN w:val="0"/>
        <w:adjustRightInd w:val="0"/>
        <w:jc w:val="both"/>
        <w:rPr>
          <w:rFonts w:ascii="Avenir-Book" w:hAnsi="Avenir-Book" w:cs="Arial"/>
          <w:sz w:val="22"/>
          <w:szCs w:val="22"/>
          <w:lang w:eastAsia="es-MX"/>
        </w:rPr>
      </w:pPr>
      <w:r w:rsidRPr="00AD165E">
        <w:rPr>
          <w:rFonts w:ascii="Avenir-Book" w:hAnsi="Avenir-Book" w:cs="Arial"/>
          <w:b/>
          <w:bCs/>
          <w:sz w:val="22"/>
          <w:szCs w:val="22"/>
          <w:lang w:eastAsia="es-MX"/>
        </w:rPr>
        <w:t xml:space="preserve">PRIMERO.- </w:t>
      </w:r>
      <w:r w:rsidRPr="00AD165E">
        <w:rPr>
          <w:rFonts w:ascii="Avenir-Book" w:hAnsi="Avenir-Book" w:cs="Arial"/>
          <w:sz w:val="22"/>
          <w:szCs w:val="22"/>
          <w:lang w:eastAsia="es-MX"/>
        </w:rPr>
        <w:t>Se aprueba el Presupuesto de Egresos del Honorable Ayuntamiento del Municipio de Puebla para el ejercicio fiscal dos mil diecinueve, en términos de</w:t>
      </w:r>
      <w:r w:rsidR="00767C5B" w:rsidRPr="00AD165E">
        <w:rPr>
          <w:rFonts w:ascii="Avenir-Book" w:hAnsi="Avenir-Book" w:cs="Arial"/>
          <w:sz w:val="22"/>
          <w:szCs w:val="22"/>
          <w:lang w:eastAsia="es-MX"/>
        </w:rPr>
        <w:t xml:space="preserve"> </w:t>
      </w:r>
      <w:r w:rsidRPr="00AD165E">
        <w:rPr>
          <w:rFonts w:ascii="Avenir-Book" w:hAnsi="Avenir-Book" w:cs="Arial"/>
          <w:sz w:val="22"/>
          <w:szCs w:val="22"/>
          <w:lang w:eastAsia="es-MX"/>
        </w:rPr>
        <w:t>l</w:t>
      </w:r>
      <w:r w:rsidR="00E11AA8" w:rsidRPr="00AD165E">
        <w:rPr>
          <w:rFonts w:ascii="Avenir-Book" w:hAnsi="Avenir-Book" w:cs="Arial"/>
          <w:sz w:val="22"/>
          <w:szCs w:val="22"/>
          <w:lang w:eastAsia="es-MX"/>
        </w:rPr>
        <w:t xml:space="preserve">os </w:t>
      </w:r>
      <w:r w:rsidRPr="00AD165E">
        <w:rPr>
          <w:rFonts w:ascii="Avenir-Book" w:hAnsi="Avenir-Book" w:cs="Arial"/>
          <w:sz w:val="22"/>
          <w:szCs w:val="22"/>
          <w:lang w:eastAsia="es-MX"/>
        </w:rPr>
        <w:t>considerando</w:t>
      </w:r>
      <w:r w:rsidR="00E11AA8" w:rsidRPr="00AD165E">
        <w:rPr>
          <w:rFonts w:ascii="Avenir-Book" w:hAnsi="Avenir-Book" w:cs="Arial"/>
          <w:sz w:val="22"/>
          <w:szCs w:val="22"/>
          <w:lang w:eastAsia="es-MX"/>
        </w:rPr>
        <w:t xml:space="preserve">s establecidos en </w:t>
      </w:r>
      <w:r w:rsidRPr="00AD165E">
        <w:rPr>
          <w:rFonts w:ascii="Avenir-Book" w:hAnsi="Avenir-Book" w:cs="Arial"/>
          <w:sz w:val="22"/>
          <w:szCs w:val="22"/>
          <w:lang w:eastAsia="es-MX"/>
        </w:rPr>
        <w:t>el presente Dictamen</w:t>
      </w:r>
      <w:r w:rsidR="00740A55" w:rsidRPr="00AD165E">
        <w:rPr>
          <w:rFonts w:ascii="Avenir-Book" w:hAnsi="Avenir-Book" w:cs="Arial"/>
          <w:sz w:val="22"/>
          <w:szCs w:val="22"/>
          <w:lang w:eastAsia="es-MX"/>
        </w:rPr>
        <w:t xml:space="preserve">, así como sus anexos. </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lang w:eastAsia="es-MX"/>
        </w:rPr>
      </w:pPr>
      <w:r w:rsidRPr="00AD165E">
        <w:rPr>
          <w:rFonts w:ascii="Avenir-Book" w:hAnsi="Avenir-Book" w:cs="Arial"/>
          <w:b/>
          <w:bCs/>
          <w:sz w:val="22"/>
          <w:szCs w:val="22"/>
        </w:rPr>
        <w:t>SEGUNDO.-</w:t>
      </w:r>
      <w:r w:rsidR="002174E1">
        <w:rPr>
          <w:rFonts w:ascii="Avenir-Book" w:hAnsi="Avenir-Book" w:cs="Arial"/>
          <w:b/>
          <w:bCs/>
          <w:sz w:val="22"/>
          <w:szCs w:val="22"/>
        </w:rPr>
        <w:t xml:space="preserve"> </w:t>
      </w:r>
      <w:r w:rsidR="00E24A29" w:rsidRPr="00AD165E">
        <w:rPr>
          <w:rFonts w:ascii="Avenir-Book" w:hAnsi="Avenir-Book" w:cs="Arial"/>
          <w:sz w:val="22"/>
          <w:szCs w:val="22"/>
        </w:rPr>
        <w:t xml:space="preserve">El Honorable Ayuntamiento del Municipio de Puebla, aprueba y faculta al </w:t>
      </w:r>
      <w:r w:rsidRPr="00AD165E">
        <w:rPr>
          <w:rFonts w:ascii="Avenir-Book" w:hAnsi="Avenir-Book" w:cs="Arial"/>
          <w:sz w:val="22"/>
          <w:szCs w:val="22"/>
        </w:rPr>
        <w:t>Secretario del Ayuntamiento</w:t>
      </w:r>
      <w:r w:rsidR="001E49DF" w:rsidRPr="00AD165E">
        <w:rPr>
          <w:rFonts w:ascii="Avenir-Book" w:hAnsi="Avenir-Book" w:cs="Arial"/>
          <w:sz w:val="22"/>
          <w:szCs w:val="22"/>
        </w:rPr>
        <w:t>,</w:t>
      </w:r>
      <w:r w:rsidR="00767C5B" w:rsidRPr="00AD165E">
        <w:rPr>
          <w:rFonts w:ascii="Avenir-Book" w:hAnsi="Avenir-Book" w:cs="Arial"/>
          <w:sz w:val="22"/>
          <w:szCs w:val="22"/>
        </w:rPr>
        <w:t xml:space="preserve"> </w:t>
      </w:r>
      <w:r w:rsidR="00E24A29" w:rsidRPr="00AD165E">
        <w:rPr>
          <w:rFonts w:ascii="Avenir-Book" w:hAnsi="Avenir-Book" w:cs="Arial"/>
          <w:sz w:val="22"/>
          <w:szCs w:val="22"/>
        </w:rPr>
        <w:t>que realice todas y cada una las gestiones necesarias</w:t>
      </w:r>
      <w:r w:rsidRPr="00AD165E">
        <w:rPr>
          <w:rFonts w:ascii="Avenir-Book" w:hAnsi="Avenir-Book" w:cs="Arial"/>
          <w:sz w:val="22"/>
          <w:szCs w:val="22"/>
        </w:rPr>
        <w:t xml:space="preserve">, </w:t>
      </w:r>
      <w:r w:rsidR="001E49DF" w:rsidRPr="00AD165E">
        <w:rPr>
          <w:rFonts w:ascii="Avenir-Book" w:hAnsi="Avenir-Book" w:cs="Arial"/>
          <w:sz w:val="22"/>
          <w:szCs w:val="22"/>
        </w:rPr>
        <w:t xml:space="preserve">a efecto de remitir </w:t>
      </w:r>
      <w:r w:rsidRPr="00AD165E">
        <w:rPr>
          <w:rFonts w:ascii="Avenir-Book" w:hAnsi="Avenir-Book" w:cs="Arial"/>
          <w:sz w:val="22"/>
          <w:szCs w:val="22"/>
        </w:rPr>
        <w:t xml:space="preserve">al Poder Ejecutivo </w:t>
      </w:r>
      <w:r w:rsidRPr="00AD165E">
        <w:rPr>
          <w:rFonts w:ascii="Avenir-Book" w:hAnsi="Avenir-Book" w:cs="Arial"/>
          <w:sz w:val="22"/>
          <w:szCs w:val="22"/>
          <w:lang w:eastAsia="es-MX"/>
        </w:rPr>
        <w:t xml:space="preserve">del Estado, </w:t>
      </w:r>
      <w:r w:rsidR="001E49DF" w:rsidRPr="00AD165E">
        <w:rPr>
          <w:rFonts w:ascii="Avenir-Book" w:hAnsi="Avenir-Book" w:cs="Arial"/>
          <w:sz w:val="22"/>
          <w:szCs w:val="22"/>
        </w:rPr>
        <w:t>el Presupuesto de Egresos del Honorable Ayuntamiento del Municipio de Puebla, correspondiente al ejercicio fiscal del dos mil diecinueve,</w:t>
      </w:r>
      <w:r w:rsidR="00767C5B" w:rsidRPr="00AD165E">
        <w:rPr>
          <w:rFonts w:ascii="Avenir-Book" w:hAnsi="Avenir-Book" w:cs="Arial"/>
          <w:sz w:val="22"/>
          <w:szCs w:val="22"/>
        </w:rPr>
        <w:t xml:space="preserve"> </w:t>
      </w:r>
      <w:r w:rsidR="00041F46" w:rsidRPr="00AD165E">
        <w:rPr>
          <w:rFonts w:ascii="Avenir-Book" w:hAnsi="Avenir-Book" w:cs="Arial"/>
          <w:sz w:val="22"/>
          <w:szCs w:val="22"/>
          <w:lang w:eastAsia="es-MX"/>
        </w:rPr>
        <w:t>a fin de publicar este instrumento jurídico en e</w:t>
      </w:r>
      <w:r w:rsidRPr="00AD165E">
        <w:rPr>
          <w:rFonts w:ascii="Avenir-Book" w:hAnsi="Avenir-Book" w:cs="Arial"/>
          <w:sz w:val="22"/>
          <w:szCs w:val="22"/>
          <w:lang w:eastAsia="es-MX"/>
        </w:rPr>
        <w:t xml:space="preserve">l Periódico Oficial del Estado, </w:t>
      </w:r>
      <w:r w:rsidR="00041F46" w:rsidRPr="00AD165E">
        <w:rPr>
          <w:rFonts w:ascii="Avenir-Book" w:hAnsi="Avenir-Book" w:cs="Arial"/>
          <w:sz w:val="22"/>
          <w:szCs w:val="22"/>
          <w:lang w:eastAsia="es-MX"/>
        </w:rPr>
        <w:t xml:space="preserve">conforme </w:t>
      </w:r>
      <w:r w:rsidRPr="00AD165E">
        <w:rPr>
          <w:rFonts w:ascii="Avenir-Book" w:hAnsi="Avenir-Book" w:cs="Arial"/>
          <w:sz w:val="22"/>
          <w:szCs w:val="22"/>
          <w:lang w:eastAsia="es-MX"/>
        </w:rPr>
        <w:t xml:space="preserve">a lo establecido por </w:t>
      </w:r>
      <w:r w:rsidR="000B1AF4" w:rsidRPr="00AD165E">
        <w:rPr>
          <w:rFonts w:ascii="Avenir-Book" w:hAnsi="Avenir-Book" w:cs="Arial"/>
          <w:sz w:val="22"/>
          <w:szCs w:val="22"/>
          <w:lang w:eastAsia="es-MX"/>
        </w:rPr>
        <w:t xml:space="preserve">la fracción V, del artículo </w:t>
      </w:r>
      <w:r w:rsidR="00DB1873" w:rsidRPr="00AD165E">
        <w:rPr>
          <w:rFonts w:ascii="Avenir-Book" w:hAnsi="Avenir-Book" w:cs="Arial"/>
          <w:sz w:val="22"/>
          <w:szCs w:val="22"/>
          <w:lang w:eastAsia="es-MX"/>
        </w:rPr>
        <w:t>8</w:t>
      </w:r>
      <w:r w:rsidR="00C74D13" w:rsidRPr="00AD165E">
        <w:rPr>
          <w:rFonts w:ascii="Avenir-Book" w:hAnsi="Avenir-Book" w:cs="Arial"/>
          <w:sz w:val="22"/>
          <w:szCs w:val="22"/>
          <w:lang w:eastAsia="es-MX"/>
        </w:rPr>
        <w:t xml:space="preserve">4, </w:t>
      </w:r>
      <w:r w:rsidR="000B1AF4" w:rsidRPr="00AD165E">
        <w:rPr>
          <w:rFonts w:ascii="Avenir-Book" w:hAnsi="Avenir-Book" w:cs="Arial"/>
          <w:sz w:val="22"/>
          <w:szCs w:val="22"/>
          <w:lang w:eastAsia="es-MX"/>
        </w:rPr>
        <w:t>88,</w:t>
      </w:r>
      <w:r w:rsidR="00C74D13" w:rsidRPr="00AD165E">
        <w:rPr>
          <w:rFonts w:ascii="Avenir-Book" w:hAnsi="Avenir-Book" w:cs="Arial"/>
          <w:sz w:val="22"/>
          <w:szCs w:val="22"/>
          <w:lang w:eastAsia="es-MX"/>
        </w:rPr>
        <w:t xml:space="preserve"> 89 Bis,</w:t>
      </w:r>
      <w:r w:rsidR="00767C5B" w:rsidRPr="00AD165E">
        <w:rPr>
          <w:rFonts w:ascii="Avenir-Book" w:hAnsi="Avenir-Book" w:cs="Arial"/>
          <w:sz w:val="22"/>
          <w:szCs w:val="22"/>
          <w:lang w:eastAsia="es-MX"/>
        </w:rPr>
        <w:t xml:space="preserve"> </w:t>
      </w:r>
      <w:r w:rsidRPr="00AD165E">
        <w:rPr>
          <w:rFonts w:ascii="Avenir-Book" w:hAnsi="Avenir-Book" w:cs="Arial"/>
          <w:sz w:val="22"/>
          <w:szCs w:val="22"/>
          <w:lang w:eastAsia="es-MX"/>
        </w:rPr>
        <w:t>de la Ley Orgánica Municipal</w:t>
      </w:r>
      <w:r w:rsidR="00C9483B" w:rsidRPr="00AD165E">
        <w:rPr>
          <w:rFonts w:ascii="Avenir-Book" w:hAnsi="Avenir-Book" w:cs="Arial"/>
          <w:sz w:val="22"/>
          <w:szCs w:val="22"/>
          <w:lang w:eastAsia="es-MX"/>
        </w:rPr>
        <w:t xml:space="preserve">; fracción I, Segundo Párrafo, numeral 18, de la Ley de Disciplina Financiera de las Entidades Federativas y los Municipios; </w:t>
      </w:r>
      <w:r w:rsidRPr="00AD165E">
        <w:rPr>
          <w:rFonts w:ascii="Avenir-Book" w:hAnsi="Avenir-Book" w:cs="Arial"/>
          <w:sz w:val="22"/>
          <w:szCs w:val="22"/>
          <w:lang w:eastAsia="es-MX"/>
        </w:rPr>
        <w:t>toda vez que dicho proyecto deberá armonizar</w:t>
      </w:r>
      <w:r w:rsidR="001B3004" w:rsidRPr="00AD165E">
        <w:rPr>
          <w:rFonts w:ascii="Avenir-Book" w:hAnsi="Avenir-Book" w:cs="Arial"/>
          <w:sz w:val="22"/>
          <w:szCs w:val="22"/>
          <w:lang w:eastAsia="es-MX"/>
        </w:rPr>
        <w:t>se</w:t>
      </w:r>
      <w:r w:rsidRPr="00AD165E">
        <w:rPr>
          <w:rFonts w:ascii="Avenir-Book" w:hAnsi="Avenir-Book" w:cs="Arial"/>
          <w:sz w:val="22"/>
          <w:szCs w:val="22"/>
          <w:lang w:eastAsia="es-MX"/>
        </w:rPr>
        <w:t xml:space="preserve"> con los formatos emitidos por el Consejo Nacional de Amortización Contable, que abarca el periodo de tres años conforme al ejercicio fiscal en cuestión.</w:t>
      </w:r>
    </w:p>
    <w:p w:rsidR="000B3C73" w:rsidRPr="00AD165E" w:rsidRDefault="000B3C73" w:rsidP="000B3C73">
      <w:pPr>
        <w:autoSpaceDE w:val="0"/>
        <w:autoSpaceDN w:val="0"/>
        <w:adjustRightInd w:val="0"/>
        <w:jc w:val="both"/>
        <w:rPr>
          <w:rFonts w:ascii="Avenir-Book" w:hAnsi="Avenir-Book" w:cs="Arial"/>
          <w:b/>
          <w:bCs/>
          <w:sz w:val="22"/>
          <w:szCs w:val="22"/>
          <w:lang w:eastAsia="es-MX"/>
        </w:rPr>
      </w:pPr>
    </w:p>
    <w:p w:rsidR="000B3C73" w:rsidRPr="00AD165E" w:rsidRDefault="000B3C73" w:rsidP="000B3C73">
      <w:pPr>
        <w:autoSpaceDE w:val="0"/>
        <w:autoSpaceDN w:val="0"/>
        <w:adjustRightInd w:val="0"/>
        <w:jc w:val="both"/>
        <w:rPr>
          <w:rFonts w:ascii="Avenir-Book" w:hAnsi="Avenir-Book" w:cs="Arial"/>
          <w:sz w:val="22"/>
          <w:szCs w:val="22"/>
          <w:lang w:eastAsia="es-MX"/>
        </w:rPr>
      </w:pPr>
      <w:r w:rsidRPr="00AD165E">
        <w:rPr>
          <w:rFonts w:ascii="Avenir-Book" w:hAnsi="Avenir-Book" w:cs="Arial"/>
          <w:b/>
          <w:bCs/>
          <w:sz w:val="22"/>
          <w:szCs w:val="22"/>
          <w:lang w:eastAsia="es-MX"/>
        </w:rPr>
        <w:t xml:space="preserve">TERCERO.- </w:t>
      </w:r>
      <w:r w:rsidRPr="00AD165E">
        <w:rPr>
          <w:rFonts w:ascii="Avenir-Book" w:hAnsi="Avenir-Book" w:cs="Arial"/>
          <w:sz w:val="22"/>
          <w:szCs w:val="22"/>
          <w:lang w:eastAsia="es-MX"/>
        </w:rPr>
        <w:t xml:space="preserve">Se instruye al Tesorero Municipal del Honorable Ayuntamiento del Municipio de Puebla, para que </w:t>
      </w:r>
      <w:r w:rsidR="00C9483B" w:rsidRPr="00AD165E">
        <w:rPr>
          <w:rFonts w:ascii="Avenir-Book" w:hAnsi="Avenir-Book" w:cs="Arial"/>
          <w:sz w:val="22"/>
          <w:szCs w:val="22"/>
          <w:lang w:eastAsia="es-MX"/>
        </w:rPr>
        <w:t>en el ámbito de sus atribuciones</w:t>
      </w:r>
      <w:r w:rsidRPr="00AD165E">
        <w:rPr>
          <w:rFonts w:ascii="Avenir-Book" w:hAnsi="Avenir-Book" w:cs="Arial"/>
          <w:sz w:val="22"/>
          <w:szCs w:val="22"/>
          <w:lang w:eastAsia="es-MX"/>
        </w:rPr>
        <w:t xml:space="preserve">, emita en un término </w:t>
      </w:r>
      <w:r w:rsidR="00C9483B" w:rsidRPr="00AD165E">
        <w:rPr>
          <w:rFonts w:ascii="Avenir-Book" w:hAnsi="Avenir-Book" w:cs="Arial"/>
          <w:sz w:val="22"/>
          <w:szCs w:val="22"/>
          <w:lang w:eastAsia="es-MX"/>
        </w:rPr>
        <w:t xml:space="preserve">no mayor a </w:t>
      </w:r>
      <w:r w:rsidRPr="00AD165E">
        <w:rPr>
          <w:rFonts w:ascii="Avenir-Book" w:hAnsi="Avenir-Book" w:cs="Arial"/>
          <w:sz w:val="22"/>
          <w:szCs w:val="22"/>
          <w:lang w:eastAsia="es-MX"/>
        </w:rPr>
        <w:t xml:space="preserve">cuarenta y cinco días naturales posteriores a la fecha de entrada en vigor </w:t>
      </w:r>
      <w:r w:rsidR="00FF6A47">
        <w:rPr>
          <w:rFonts w:ascii="Avenir-Book" w:hAnsi="Avenir-Book" w:cs="Arial"/>
          <w:sz w:val="22"/>
          <w:szCs w:val="22"/>
          <w:lang w:eastAsia="es-MX"/>
        </w:rPr>
        <w:t>d</w:t>
      </w:r>
      <w:r w:rsidRPr="00AD165E">
        <w:rPr>
          <w:rFonts w:ascii="Avenir-Book" w:hAnsi="Avenir-Book" w:cs="Arial"/>
          <w:sz w:val="22"/>
          <w:szCs w:val="22"/>
          <w:lang w:eastAsia="es-MX"/>
        </w:rPr>
        <w:t>el Presupuesto de Egresos del Municipio de Puebla, para el ejercici</w:t>
      </w:r>
      <w:r w:rsidR="00FF6A47">
        <w:rPr>
          <w:rFonts w:ascii="Avenir-Book" w:hAnsi="Avenir-Book" w:cs="Arial"/>
          <w:sz w:val="22"/>
          <w:szCs w:val="22"/>
          <w:lang w:eastAsia="es-MX"/>
        </w:rPr>
        <w:t xml:space="preserve">o fiscal dos mil diecinueve, </w:t>
      </w:r>
      <w:r w:rsidRPr="00AD165E">
        <w:rPr>
          <w:rFonts w:ascii="Avenir-Book" w:hAnsi="Avenir-Book" w:cs="Arial"/>
          <w:sz w:val="22"/>
          <w:szCs w:val="22"/>
          <w:lang w:eastAsia="es-MX"/>
        </w:rPr>
        <w:t>la Normatividad Presupuestal para la Autorización y Ejercicio del Gasto Público de la Administración Municipal que estará vigente a partir de la fecha de su emisión.</w:t>
      </w:r>
    </w:p>
    <w:p w:rsidR="00AE0A4D" w:rsidRPr="00AD165E" w:rsidRDefault="00AE0A4D" w:rsidP="00795F30">
      <w:pPr>
        <w:autoSpaceDE w:val="0"/>
        <w:autoSpaceDN w:val="0"/>
        <w:adjustRightInd w:val="0"/>
        <w:rPr>
          <w:rFonts w:ascii="Avenir-Book" w:hAnsi="Avenir-Book" w:cs="Arial"/>
          <w:b/>
          <w:bCs/>
          <w:sz w:val="22"/>
          <w:szCs w:val="22"/>
        </w:rPr>
      </w:pPr>
    </w:p>
    <w:p w:rsidR="000B3C73" w:rsidRPr="00AD165E" w:rsidRDefault="000B3C73" w:rsidP="000B3C73">
      <w:pPr>
        <w:autoSpaceDE w:val="0"/>
        <w:autoSpaceDN w:val="0"/>
        <w:adjustRightInd w:val="0"/>
        <w:jc w:val="center"/>
        <w:rPr>
          <w:rFonts w:ascii="Avenir-Book" w:hAnsi="Avenir-Book" w:cs="Arial"/>
          <w:b/>
          <w:bCs/>
          <w:sz w:val="22"/>
          <w:szCs w:val="22"/>
        </w:rPr>
      </w:pPr>
      <w:r w:rsidRPr="00AD165E">
        <w:rPr>
          <w:rFonts w:ascii="Avenir-Book" w:hAnsi="Avenir-Book" w:cs="Arial"/>
          <w:b/>
          <w:bCs/>
          <w:sz w:val="22"/>
          <w:szCs w:val="22"/>
        </w:rPr>
        <w:t>DISPOSICIONES TRANSITORIAS</w:t>
      </w:r>
    </w:p>
    <w:p w:rsidR="000B3C73" w:rsidRPr="00AD165E" w:rsidRDefault="000B3C73" w:rsidP="000B3C73">
      <w:pPr>
        <w:autoSpaceDE w:val="0"/>
        <w:autoSpaceDN w:val="0"/>
        <w:adjustRightInd w:val="0"/>
        <w:jc w:val="center"/>
        <w:rPr>
          <w:rFonts w:ascii="Avenir-Book" w:hAnsi="Avenir-Book" w:cs="Arial"/>
          <w:b/>
          <w:bCs/>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bCs/>
          <w:sz w:val="22"/>
          <w:szCs w:val="22"/>
        </w:rPr>
        <w:t>PRIMERA</w:t>
      </w:r>
      <w:r w:rsidRPr="00AD165E">
        <w:rPr>
          <w:rFonts w:ascii="Avenir-Book" w:hAnsi="Avenir-Book" w:cs="Arial"/>
          <w:sz w:val="22"/>
          <w:szCs w:val="22"/>
        </w:rPr>
        <w:t>.- El Presupuesto de Egresos del Honorable Ayuntamiento del Municipio de Puebla, para el ejercicio fiscal dos mil diecinueve, entrará en vigor a partir del primer día del mes de enero del año dos mil diecinueve y estará vigente hasta el treinta y uno de diciembre del mismo año.</w:t>
      </w:r>
    </w:p>
    <w:p w:rsidR="000B3C73" w:rsidRPr="00AD165E" w:rsidRDefault="000B3C73" w:rsidP="000B3C73">
      <w:pPr>
        <w:pStyle w:val="Sinespaciado"/>
        <w:jc w:val="both"/>
        <w:rPr>
          <w:rFonts w:ascii="Avenir-Book" w:hAnsi="Avenir-Book" w:cs="Arial"/>
          <w:b/>
          <w:bCs/>
        </w:rPr>
      </w:pPr>
    </w:p>
    <w:p w:rsidR="000B3C73" w:rsidRDefault="000B3C73" w:rsidP="000B3C73">
      <w:pPr>
        <w:pStyle w:val="Sinespaciado"/>
        <w:jc w:val="both"/>
        <w:rPr>
          <w:rFonts w:ascii="Avenir-Book" w:hAnsi="Avenir-Book" w:cs="Arial"/>
        </w:rPr>
      </w:pPr>
      <w:r w:rsidRPr="00AD165E">
        <w:rPr>
          <w:rFonts w:ascii="Avenir-Book" w:hAnsi="Avenir-Book" w:cs="Arial"/>
          <w:b/>
          <w:bCs/>
        </w:rPr>
        <w:t>SEGUNDA.-</w:t>
      </w:r>
      <w:r w:rsidRPr="00AD165E">
        <w:rPr>
          <w:rFonts w:ascii="Avenir-Book" w:hAnsi="Avenir-Book" w:cs="Arial"/>
        </w:rPr>
        <w:t>Se instruye a la</w:t>
      </w:r>
      <w:r w:rsidR="00B61033" w:rsidRPr="00AD165E">
        <w:rPr>
          <w:rFonts w:ascii="Avenir-Book" w:hAnsi="Avenir-Book" w:cs="Arial"/>
        </w:rPr>
        <w:t xml:space="preserve"> Titular del Poder Ejecutivo Municipal</w:t>
      </w:r>
      <w:r w:rsidRPr="00AD165E">
        <w:rPr>
          <w:rFonts w:ascii="Avenir-Book" w:hAnsi="Avenir-Book" w:cs="Arial"/>
        </w:rPr>
        <w:t>, para que a través de la Tesorería Municipal del Honorable Ayuntamiento del Municipio de Puebla, lleve a cabo la reasignación de cualquier recurso excedente que en su caso pueda existir.</w:t>
      </w:r>
    </w:p>
    <w:p w:rsidR="002D72D0" w:rsidRPr="00AD165E" w:rsidRDefault="002D72D0" w:rsidP="000B3C73">
      <w:pPr>
        <w:pStyle w:val="Sinespaciado"/>
        <w:jc w:val="both"/>
        <w:rPr>
          <w:rFonts w:ascii="Avenir-Book" w:hAnsi="Avenir-Book" w:cs="Arial"/>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TERCERA.-</w:t>
      </w:r>
      <w:r w:rsidRPr="00AD165E">
        <w:rPr>
          <w:rFonts w:ascii="Avenir-Book" w:hAnsi="Avenir-Book" w:cs="Arial"/>
          <w:sz w:val="22"/>
          <w:szCs w:val="22"/>
        </w:rPr>
        <w:t xml:space="preserve"> Se instruye al Tesorero Municipal del Honorable Ayuntamiento del Municipio de Puebla, para que realice los ajustes y acciones que resulten necesarios en su caso, a fin de otorgar cabal y debido cumplimiento a las disposiciones establecidas en la Ley General de Contabilidad Gubernamental y cualquier otra disposición legal aplicable, así como a los Lineamientos que emanen de los Consejos Nacional y Estatal de Armonización Contable respectivamente. </w:t>
      </w:r>
    </w:p>
    <w:p w:rsidR="000B3C73" w:rsidRPr="00AD165E" w:rsidRDefault="000B3C73" w:rsidP="000B3C73">
      <w:pPr>
        <w:autoSpaceDE w:val="0"/>
        <w:autoSpaceDN w:val="0"/>
        <w:adjustRightInd w:val="0"/>
        <w:jc w:val="both"/>
        <w:rPr>
          <w:rFonts w:ascii="Avenir-Book" w:hAnsi="Avenir-Book" w:cs="Arial"/>
          <w:b/>
          <w:sz w:val="22"/>
          <w:szCs w:val="22"/>
        </w:rPr>
      </w:pPr>
    </w:p>
    <w:p w:rsidR="00C9483B"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CUARTA.- </w:t>
      </w:r>
      <w:r w:rsidRPr="00AD165E">
        <w:rPr>
          <w:rFonts w:ascii="Avenir-Book" w:hAnsi="Avenir-Book" w:cs="Arial"/>
          <w:sz w:val="22"/>
          <w:szCs w:val="22"/>
        </w:rPr>
        <w:t>Se instruye al Tesorero del Honorable Ayuntamiento del Municipio de Puebla, para que informe de manera mensual, ante la Comisión de Patrimonio y Hacienda Pública Municipal, las ampliaciones presupuestales autorizadas a las Dependencias y Organismos Públicos Descentralizados, que involucren recursos propios</w:t>
      </w:r>
      <w:r w:rsidR="00C9483B" w:rsidRPr="00AD165E">
        <w:rPr>
          <w:rFonts w:ascii="Avenir-Book" w:hAnsi="Avenir-Book" w:cs="Arial"/>
          <w:sz w:val="22"/>
          <w:szCs w:val="22"/>
        </w:rPr>
        <w:t xml:space="preserve"> y</w:t>
      </w:r>
      <w:r w:rsidRPr="00AD165E">
        <w:rPr>
          <w:rFonts w:ascii="Avenir-Book" w:hAnsi="Avenir-Book" w:cs="Arial"/>
          <w:sz w:val="22"/>
          <w:szCs w:val="22"/>
        </w:rPr>
        <w:t xml:space="preserve"> extraordinarios, así como las solicitudes de ampliación pendientes de autoriza</w:t>
      </w:r>
      <w:r w:rsidR="00740A55" w:rsidRPr="00AD165E">
        <w:rPr>
          <w:rFonts w:ascii="Avenir-Book" w:hAnsi="Avenir-Book" w:cs="Arial"/>
          <w:sz w:val="22"/>
          <w:szCs w:val="22"/>
        </w:rPr>
        <w:t>.</w:t>
      </w:r>
    </w:p>
    <w:p w:rsidR="00722546" w:rsidRPr="00AD165E" w:rsidRDefault="00722546" w:rsidP="000B3C73">
      <w:pPr>
        <w:autoSpaceDE w:val="0"/>
        <w:autoSpaceDN w:val="0"/>
        <w:adjustRightInd w:val="0"/>
        <w:jc w:val="both"/>
        <w:rPr>
          <w:rFonts w:ascii="Avenir-Book" w:hAnsi="Avenir-Book" w:cs="Arial"/>
          <w:sz w:val="22"/>
          <w:szCs w:val="22"/>
        </w:rPr>
      </w:pPr>
    </w:p>
    <w:p w:rsidR="00A95F16" w:rsidRDefault="00A95F16" w:rsidP="000B3C73">
      <w:pPr>
        <w:jc w:val="center"/>
        <w:rPr>
          <w:rFonts w:ascii="Avenir-Book" w:hAnsi="Avenir-Book" w:cs="Arial"/>
          <w:b/>
          <w:sz w:val="22"/>
          <w:szCs w:val="22"/>
        </w:rPr>
      </w:pP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A T E N T A M E N T E</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 xml:space="preserve">CUATRO VECES HEROICA PUEBLA DE ZARAGOZA, A </w:t>
      </w:r>
      <w:r w:rsidR="00EB3504" w:rsidRPr="00AD165E">
        <w:rPr>
          <w:rFonts w:ascii="Avenir-Book" w:hAnsi="Avenir-Book" w:cs="Arial"/>
          <w:b/>
          <w:sz w:val="22"/>
          <w:szCs w:val="22"/>
        </w:rPr>
        <w:t>2</w:t>
      </w:r>
      <w:r w:rsidR="007F6463">
        <w:rPr>
          <w:rFonts w:ascii="Avenir-Book" w:hAnsi="Avenir-Book" w:cs="Arial"/>
          <w:b/>
          <w:sz w:val="22"/>
          <w:szCs w:val="22"/>
        </w:rPr>
        <w:t>4</w:t>
      </w:r>
      <w:r w:rsidR="00FA3638" w:rsidRPr="00AD165E">
        <w:rPr>
          <w:rFonts w:ascii="Avenir-Book" w:hAnsi="Avenir-Book" w:cs="Arial"/>
          <w:b/>
          <w:sz w:val="22"/>
          <w:szCs w:val="22"/>
        </w:rPr>
        <w:t xml:space="preserve"> DE DIC</w:t>
      </w:r>
      <w:r w:rsidRPr="00AD165E">
        <w:rPr>
          <w:rFonts w:ascii="Avenir-Book" w:hAnsi="Avenir-Book" w:cs="Arial"/>
          <w:b/>
          <w:sz w:val="22"/>
          <w:szCs w:val="22"/>
        </w:rPr>
        <w:t>IEMBRE DE 2018</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“PUEBLA, CIUDAD INCLUYENTE”</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LOS INTEGRANTES DE LA COMISIÓN DE PATRIMONIO</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Y HACIENDA PÚBLICA MUNICIPAL</w:t>
      </w:r>
    </w:p>
    <w:p w:rsidR="000B3C73" w:rsidRPr="00AD165E" w:rsidRDefault="000B3C73" w:rsidP="000B3C73">
      <w:pPr>
        <w:jc w:val="center"/>
        <w:rPr>
          <w:rFonts w:ascii="Avenir-Book" w:hAnsi="Avenir-Book" w:cs="Arial"/>
          <w:b/>
          <w:sz w:val="22"/>
          <w:szCs w:val="22"/>
        </w:rPr>
      </w:pPr>
    </w:p>
    <w:p w:rsidR="000B3C73" w:rsidRPr="00AD165E" w:rsidRDefault="000B3C73" w:rsidP="008C1FBB">
      <w:pPr>
        <w:rPr>
          <w:rFonts w:ascii="Avenir-Book" w:hAnsi="Avenir-Book" w:cs="Arial"/>
          <w:b/>
          <w:sz w:val="22"/>
          <w:szCs w:val="22"/>
        </w:rPr>
      </w:pPr>
    </w:p>
    <w:p w:rsidR="00FA3638" w:rsidRPr="00AD165E" w:rsidRDefault="00FA3638" w:rsidP="000B3C73">
      <w:pPr>
        <w:jc w:val="center"/>
        <w:rPr>
          <w:rFonts w:ascii="Avenir-Book" w:hAnsi="Avenir-Book" w:cs="Arial"/>
          <w:b/>
          <w:sz w:val="22"/>
          <w:szCs w:val="22"/>
        </w:rPr>
      </w:pPr>
    </w:p>
    <w:p w:rsidR="005866D9" w:rsidRPr="00AD165E" w:rsidRDefault="005866D9" w:rsidP="000B3C73">
      <w:pPr>
        <w:jc w:val="center"/>
        <w:rPr>
          <w:rFonts w:ascii="Avenir-Book" w:hAnsi="Avenir-Book" w:cs="Arial"/>
          <w:b/>
          <w:sz w:val="22"/>
          <w:szCs w:val="22"/>
        </w:rPr>
      </w:pPr>
    </w:p>
    <w:p w:rsidR="005866D9" w:rsidRPr="00AD165E" w:rsidRDefault="005866D9" w:rsidP="000B3C73">
      <w:pPr>
        <w:jc w:val="center"/>
        <w:rPr>
          <w:rFonts w:ascii="Avenir-Book" w:hAnsi="Avenir-Book" w:cs="Arial"/>
          <w:b/>
          <w:sz w:val="22"/>
          <w:szCs w:val="22"/>
        </w:rPr>
      </w:pPr>
    </w:p>
    <w:p w:rsidR="009437F9" w:rsidRPr="00AD165E" w:rsidRDefault="009437F9" w:rsidP="000B3C73">
      <w:pPr>
        <w:jc w:val="center"/>
        <w:rPr>
          <w:rFonts w:ascii="Avenir-Book" w:hAnsi="Avenir-Book" w:cs="Arial"/>
          <w:b/>
          <w:sz w:val="22"/>
          <w:szCs w:val="22"/>
        </w:rPr>
      </w:pPr>
    </w:p>
    <w:p w:rsidR="000B3C73" w:rsidRPr="00AD165E" w:rsidRDefault="000B3C73" w:rsidP="000B3C73">
      <w:pPr>
        <w:autoSpaceDE w:val="0"/>
        <w:autoSpaceDN w:val="0"/>
        <w:adjustRightInd w:val="0"/>
        <w:jc w:val="center"/>
        <w:rPr>
          <w:rFonts w:ascii="Avenir-Book" w:hAnsi="Avenir-Book" w:cs="Arial"/>
          <w:b/>
          <w:bCs/>
          <w:sz w:val="22"/>
          <w:szCs w:val="22"/>
        </w:rPr>
      </w:pPr>
      <w:r w:rsidRPr="00AD165E">
        <w:rPr>
          <w:rFonts w:ascii="Avenir-Book" w:hAnsi="Avenir-Book" w:cs="Arial"/>
          <w:b/>
          <w:bCs/>
          <w:sz w:val="22"/>
          <w:szCs w:val="22"/>
        </w:rPr>
        <w:t>REG. PATRICIA MONTAÑO FLORES</w:t>
      </w:r>
    </w:p>
    <w:p w:rsidR="000B3C73" w:rsidRPr="00AD165E" w:rsidRDefault="005866D9" w:rsidP="000B3C73">
      <w:pPr>
        <w:jc w:val="center"/>
        <w:rPr>
          <w:rFonts w:ascii="Avenir-Book" w:hAnsi="Avenir-Book" w:cs="Arial"/>
          <w:b/>
          <w:sz w:val="22"/>
          <w:szCs w:val="22"/>
        </w:rPr>
      </w:pPr>
      <w:r w:rsidRPr="00AD165E">
        <w:rPr>
          <w:rFonts w:ascii="Avenir-Book" w:hAnsi="Avenir-Book" w:cs="Arial"/>
          <w:b/>
          <w:bCs/>
          <w:sz w:val="22"/>
          <w:szCs w:val="22"/>
        </w:rPr>
        <w:t>PRESIDENTA</w:t>
      </w:r>
    </w:p>
    <w:p w:rsidR="000B3C73" w:rsidRPr="00AD165E" w:rsidRDefault="000B3C73" w:rsidP="000B3C73">
      <w:pPr>
        <w:jc w:val="center"/>
        <w:rPr>
          <w:rFonts w:ascii="Avenir-Book" w:hAnsi="Avenir-Book" w:cs="Arial"/>
          <w:b/>
          <w:sz w:val="22"/>
          <w:szCs w:val="22"/>
        </w:rPr>
      </w:pPr>
    </w:p>
    <w:p w:rsidR="000B3C73" w:rsidRPr="00AD165E" w:rsidRDefault="000B3C73" w:rsidP="000B3C73">
      <w:pPr>
        <w:jc w:val="center"/>
        <w:rPr>
          <w:rFonts w:ascii="Avenir-Book" w:hAnsi="Avenir-Book" w:cs="Arial"/>
          <w:b/>
          <w:sz w:val="22"/>
          <w:szCs w:val="22"/>
        </w:rPr>
      </w:pPr>
    </w:p>
    <w:p w:rsidR="002D28BA" w:rsidRPr="00AD165E" w:rsidRDefault="002D28BA" w:rsidP="000B3C73">
      <w:pPr>
        <w:jc w:val="center"/>
        <w:rPr>
          <w:rFonts w:ascii="Avenir-Book" w:hAnsi="Avenir-Book" w:cs="Arial"/>
          <w:b/>
          <w:sz w:val="22"/>
          <w:szCs w:val="22"/>
        </w:rPr>
      </w:pPr>
    </w:p>
    <w:p w:rsidR="002D28BA" w:rsidRPr="00AD165E" w:rsidRDefault="002D28BA" w:rsidP="000B3C73">
      <w:pPr>
        <w:jc w:val="center"/>
        <w:rPr>
          <w:rFonts w:ascii="Avenir-Book" w:hAnsi="Avenir-Book" w:cs="Arial"/>
          <w:b/>
          <w:sz w:val="22"/>
          <w:szCs w:val="22"/>
        </w:rPr>
      </w:pPr>
    </w:p>
    <w:p w:rsidR="002D28BA" w:rsidRPr="00AD165E" w:rsidRDefault="002D28BA" w:rsidP="000B3C73">
      <w:pPr>
        <w:jc w:val="center"/>
        <w:rPr>
          <w:rFonts w:ascii="Avenir-Book" w:hAnsi="Avenir-Book" w:cs="Arial"/>
          <w:b/>
          <w:sz w:val="22"/>
          <w:szCs w:val="22"/>
        </w:rPr>
      </w:pPr>
    </w:p>
    <w:p w:rsidR="00FF6A47" w:rsidRDefault="00FF6A47" w:rsidP="000B3C73">
      <w:pPr>
        <w:jc w:val="center"/>
        <w:rPr>
          <w:rFonts w:ascii="Avenir-Book" w:hAnsi="Avenir-Book" w:cs="Arial"/>
          <w:b/>
          <w:sz w:val="22"/>
          <w:szCs w:val="22"/>
        </w:rPr>
      </w:pPr>
    </w:p>
    <w:p w:rsidR="00FF6A47" w:rsidRDefault="00FF6A47" w:rsidP="000B3C73">
      <w:pPr>
        <w:jc w:val="center"/>
        <w:rPr>
          <w:rFonts w:ascii="Avenir-Book" w:hAnsi="Avenir-Book" w:cs="Arial"/>
          <w:b/>
          <w:sz w:val="22"/>
          <w:szCs w:val="22"/>
        </w:rPr>
      </w:pPr>
    </w:p>
    <w:p w:rsidR="00FF6A47" w:rsidRDefault="00FF6A47" w:rsidP="000B3C73">
      <w:pPr>
        <w:jc w:val="center"/>
        <w:rPr>
          <w:rFonts w:ascii="Avenir-Book" w:hAnsi="Avenir-Book" w:cs="Arial"/>
          <w:b/>
          <w:sz w:val="22"/>
          <w:szCs w:val="22"/>
        </w:rPr>
      </w:pPr>
    </w:p>
    <w:p w:rsidR="00FF6A47" w:rsidRDefault="00FF6A47" w:rsidP="000B3C73">
      <w:pPr>
        <w:jc w:val="center"/>
        <w:rPr>
          <w:rFonts w:ascii="Avenir-Book" w:hAnsi="Avenir-Book" w:cs="Arial"/>
          <w:b/>
          <w:sz w:val="22"/>
          <w:szCs w:val="22"/>
        </w:rPr>
      </w:pPr>
    </w:p>
    <w:p w:rsidR="00FF6A47" w:rsidRPr="00AD165E" w:rsidRDefault="00FF6A47" w:rsidP="000B3C73">
      <w:pPr>
        <w:jc w:val="center"/>
        <w:rPr>
          <w:rFonts w:ascii="Avenir-Book" w:hAnsi="Avenir-Book" w:cs="Arial"/>
          <w:b/>
          <w:sz w:val="22"/>
          <w:szCs w:val="22"/>
        </w:rPr>
      </w:pPr>
    </w:p>
    <w:tbl>
      <w:tblPr>
        <w:tblW w:w="8883" w:type="dxa"/>
        <w:jc w:val="center"/>
        <w:tblLook w:val="04A0" w:firstRow="1" w:lastRow="0" w:firstColumn="1" w:lastColumn="0" w:noHBand="0" w:noVBand="1"/>
      </w:tblPr>
      <w:tblGrid>
        <w:gridCol w:w="8661"/>
        <w:gridCol w:w="222"/>
      </w:tblGrid>
      <w:tr w:rsidR="000B3C73" w:rsidRPr="00AD165E" w:rsidTr="000B3C73">
        <w:trPr>
          <w:trHeight w:val="908"/>
          <w:jc w:val="center"/>
        </w:trPr>
        <w:tc>
          <w:tcPr>
            <w:tcW w:w="8661" w:type="dxa"/>
            <w:shd w:val="clear" w:color="auto" w:fill="auto"/>
            <w:vAlign w:val="center"/>
          </w:tcPr>
          <w:p w:rsidR="00DB3897" w:rsidRPr="00AD165E" w:rsidRDefault="00DB3897">
            <w:pPr>
              <w:rPr>
                <w:rFonts w:ascii="Avenir-Book" w:hAnsi="Avenir-Book"/>
              </w:rPr>
            </w:pPr>
          </w:p>
          <w:tbl>
            <w:tblPr>
              <w:tblW w:w="8445" w:type="dxa"/>
              <w:tblLook w:val="04A0" w:firstRow="1" w:lastRow="0" w:firstColumn="1" w:lastColumn="0" w:noHBand="0" w:noVBand="1"/>
            </w:tblPr>
            <w:tblGrid>
              <w:gridCol w:w="4523"/>
              <w:gridCol w:w="3922"/>
            </w:tblGrid>
            <w:tr w:rsidR="000B3C73" w:rsidRPr="00AD165E" w:rsidTr="000B3C73">
              <w:trPr>
                <w:trHeight w:val="684"/>
              </w:trPr>
              <w:tc>
                <w:tcPr>
                  <w:tcW w:w="4523" w:type="dxa"/>
                </w:tcPr>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 xml:space="preserve">REG. MARÍA ISABEL </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 xml:space="preserve">CORTÉS SANTIAGO </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VOCAL</w:t>
                  </w:r>
                </w:p>
                <w:p w:rsidR="000B3C73" w:rsidRPr="00AD165E" w:rsidRDefault="000B3C73"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p>
                <w:p w:rsidR="008226BC" w:rsidRDefault="008226BC" w:rsidP="00A95F16">
                  <w:pPr>
                    <w:autoSpaceDE w:val="0"/>
                    <w:autoSpaceDN w:val="0"/>
                    <w:adjustRightInd w:val="0"/>
                    <w:rPr>
                      <w:rFonts w:ascii="Avenir-Book" w:hAnsi="Avenir-Book" w:cs="Arial"/>
                      <w:b/>
                      <w:bCs/>
                    </w:rPr>
                  </w:pPr>
                </w:p>
                <w:p w:rsidR="007F6463" w:rsidRDefault="007F6463" w:rsidP="00A95F16">
                  <w:pPr>
                    <w:autoSpaceDE w:val="0"/>
                    <w:autoSpaceDN w:val="0"/>
                    <w:adjustRightInd w:val="0"/>
                    <w:rPr>
                      <w:rFonts w:ascii="Avenir-Book" w:hAnsi="Avenir-Book" w:cs="Arial"/>
                      <w:b/>
                      <w:bCs/>
                    </w:rPr>
                  </w:pPr>
                </w:p>
                <w:p w:rsidR="007F6463" w:rsidRPr="00AD165E" w:rsidRDefault="007F6463" w:rsidP="00A95F16">
                  <w:pPr>
                    <w:autoSpaceDE w:val="0"/>
                    <w:autoSpaceDN w:val="0"/>
                    <w:adjustRightInd w:val="0"/>
                    <w:rPr>
                      <w:rFonts w:ascii="Avenir-Book" w:hAnsi="Avenir-Book" w:cs="Arial"/>
                      <w:b/>
                      <w:bCs/>
                    </w:rPr>
                  </w:pPr>
                </w:p>
              </w:tc>
              <w:tc>
                <w:tcPr>
                  <w:tcW w:w="3922" w:type="dxa"/>
                </w:tcPr>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REG. MARÍA ROSA</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 xml:space="preserve"> MÁRQUEZ CABRERA</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VOCAL</w:t>
                  </w:r>
                </w:p>
              </w:tc>
            </w:tr>
            <w:tr w:rsidR="000B3C73" w:rsidRPr="00AD165E" w:rsidTr="000B3C73">
              <w:trPr>
                <w:trHeight w:val="732"/>
              </w:trPr>
              <w:tc>
                <w:tcPr>
                  <w:tcW w:w="4523" w:type="dxa"/>
                </w:tcPr>
                <w:p w:rsidR="00D11EEB" w:rsidRDefault="00D11EEB" w:rsidP="00DB3897">
                  <w:pPr>
                    <w:autoSpaceDE w:val="0"/>
                    <w:autoSpaceDN w:val="0"/>
                    <w:adjustRightInd w:val="0"/>
                    <w:rPr>
                      <w:rFonts w:ascii="Avenir-Book" w:hAnsi="Avenir-Book" w:cs="Arial"/>
                      <w:b/>
                      <w:bCs/>
                    </w:rPr>
                  </w:pPr>
                </w:p>
                <w:p w:rsidR="00A95F16" w:rsidRPr="00AD165E" w:rsidRDefault="00A95F16" w:rsidP="00DB3897">
                  <w:pPr>
                    <w:autoSpaceDE w:val="0"/>
                    <w:autoSpaceDN w:val="0"/>
                    <w:adjustRightInd w:val="0"/>
                    <w:rPr>
                      <w:rFonts w:ascii="Avenir-Book" w:hAnsi="Avenir-Book" w:cs="Arial"/>
                      <w:b/>
                      <w:bCs/>
                    </w:rPr>
                  </w:pPr>
                </w:p>
                <w:p w:rsidR="00D11EEB" w:rsidRPr="00AD165E" w:rsidRDefault="00D11EEB" w:rsidP="00DB3897">
                  <w:pPr>
                    <w:autoSpaceDE w:val="0"/>
                    <w:autoSpaceDN w:val="0"/>
                    <w:adjustRightInd w:val="0"/>
                    <w:rPr>
                      <w:rFonts w:ascii="Avenir-Book" w:hAnsi="Avenir-Book" w:cs="Arial"/>
                      <w:b/>
                      <w:bCs/>
                    </w:rPr>
                  </w:pPr>
                </w:p>
                <w:p w:rsidR="00804EAE" w:rsidRPr="00AD165E" w:rsidRDefault="00804EAE"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 xml:space="preserve">REG. LIBERTAD AGUIRRE </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JUNCO</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VOCAL</w:t>
                  </w:r>
                </w:p>
              </w:tc>
              <w:tc>
                <w:tcPr>
                  <w:tcW w:w="3922" w:type="dxa"/>
                </w:tcPr>
                <w:p w:rsidR="006A63AE" w:rsidRPr="00AD165E" w:rsidRDefault="006A63AE" w:rsidP="00DB3897">
                  <w:pPr>
                    <w:autoSpaceDE w:val="0"/>
                    <w:autoSpaceDN w:val="0"/>
                    <w:adjustRightInd w:val="0"/>
                    <w:rPr>
                      <w:rFonts w:ascii="Avenir-Book" w:hAnsi="Avenir-Book" w:cs="Arial"/>
                      <w:b/>
                      <w:bCs/>
                    </w:rPr>
                  </w:pPr>
                </w:p>
                <w:p w:rsidR="00D11EEB" w:rsidRDefault="00D11EEB" w:rsidP="00722546">
                  <w:pPr>
                    <w:autoSpaceDE w:val="0"/>
                    <w:autoSpaceDN w:val="0"/>
                    <w:adjustRightInd w:val="0"/>
                    <w:rPr>
                      <w:rFonts w:ascii="Avenir-Book" w:hAnsi="Avenir-Book" w:cs="Arial"/>
                      <w:b/>
                      <w:bCs/>
                    </w:rPr>
                  </w:pPr>
                </w:p>
                <w:p w:rsidR="00A95F16" w:rsidRPr="00AD165E" w:rsidRDefault="00A95F16" w:rsidP="00722546">
                  <w:pPr>
                    <w:autoSpaceDE w:val="0"/>
                    <w:autoSpaceDN w:val="0"/>
                    <w:adjustRightInd w:val="0"/>
                    <w:rPr>
                      <w:rFonts w:ascii="Avenir-Book" w:hAnsi="Avenir-Book" w:cs="Arial"/>
                      <w:b/>
                      <w:bCs/>
                    </w:rPr>
                  </w:pPr>
                </w:p>
                <w:p w:rsidR="00D11EEB" w:rsidRPr="00AD165E" w:rsidRDefault="00D11EEB"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REG. JACOBO ORDAZ</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MORENO</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VOCAL</w:t>
                  </w:r>
                </w:p>
              </w:tc>
            </w:tr>
            <w:tr w:rsidR="000B3C73" w:rsidRPr="00AD165E" w:rsidTr="000B3C73">
              <w:trPr>
                <w:trHeight w:val="1050"/>
              </w:trPr>
              <w:tc>
                <w:tcPr>
                  <w:tcW w:w="4523" w:type="dxa"/>
                </w:tcPr>
                <w:p w:rsidR="000B3C73" w:rsidRPr="00AD165E" w:rsidRDefault="000B3C73"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p>
                <w:p w:rsidR="009437F9" w:rsidRDefault="009437F9" w:rsidP="00A95F16">
                  <w:pPr>
                    <w:autoSpaceDE w:val="0"/>
                    <w:autoSpaceDN w:val="0"/>
                    <w:adjustRightInd w:val="0"/>
                    <w:rPr>
                      <w:rFonts w:ascii="Avenir-Book" w:hAnsi="Avenir-Book" w:cs="Arial"/>
                      <w:b/>
                      <w:bCs/>
                    </w:rPr>
                  </w:pPr>
                </w:p>
                <w:p w:rsidR="007F6463" w:rsidRPr="00AD165E" w:rsidRDefault="007F6463" w:rsidP="00A95F16">
                  <w:pPr>
                    <w:autoSpaceDE w:val="0"/>
                    <w:autoSpaceDN w:val="0"/>
                    <w:adjustRightInd w:val="0"/>
                    <w:rPr>
                      <w:rFonts w:ascii="Avenir-Book" w:hAnsi="Avenir-Book" w:cs="Arial"/>
                      <w:b/>
                      <w:bCs/>
                    </w:rPr>
                  </w:pPr>
                </w:p>
                <w:p w:rsidR="009437F9" w:rsidRPr="00AD165E" w:rsidRDefault="009437F9" w:rsidP="001B3004">
                  <w:pPr>
                    <w:autoSpaceDE w:val="0"/>
                    <w:autoSpaceDN w:val="0"/>
                    <w:adjustRightInd w:val="0"/>
                    <w:rPr>
                      <w:rFonts w:ascii="Avenir-Book" w:hAnsi="Avenir-Book" w:cs="Arial"/>
                      <w:b/>
                      <w:bCs/>
                    </w:rPr>
                  </w:pPr>
                </w:p>
                <w:p w:rsidR="00C41818" w:rsidRPr="00AD165E" w:rsidRDefault="00C41818" w:rsidP="00FA3638">
                  <w:pPr>
                    <w:autoSpaceDE w:val="0"/>
                    <w:autoSpaceDN w:val="0"/>
                    <w:adjustRightInd w:val="0"/>
                    <w:rPr>
                      <w:rFonts w:ascii="Avenir-Book" w:hAnsi="Avenir-Book" w:cs="Arial"/>
                      <w:b/>
                      <w:bCs/>
                    </w:rPr>
                  </w:pPr>
                </w:p>
                <w:p w:rsidR="00EB3504" w:rsidRPr="00AD165E" w:rsidRDefault="00EB3504" w:rsidP="00FA3638">
                  <w:pPr>
                    <w:autoSpaceDE w:val="0"/>
                    <w:autoSpaceDN w:val="0"/>
                    <w:adjustRightInd w:val="0"/>
                    <w:rPr>
                      <w:rFonts w:ascii="Avenir-Book" w:hAnsi="Avenir-Book" w:cs="Arial"/>
                      <w:b/>
                      <w:bCs/>
                    </w:rPr>
                  </w:pPr>
                </w:p>
                <w:p w:rsidR="000B3C73" w:rsidRPr="00AD165E" w:rsidRDefault="000B3C73" w:rsidP="009437F9">
                  <w:pPr>
                    <w:autoSpaceDE w:val="0"/>
                    <w:autoSpaceDN w:val="0"/>
                    <w:adjustRightInd w:val="0"/>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 xml:space="preserve">REG. SILVIA GUILLERMINA </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TANÚS OSORIO</w:t>
                  </w:r>
                </w:p>
                <w:p w:rsidR="000B3C73" w:rsidRPr="00AD165E" w:rsidRDefault="000B3C73" w:rsidP="000B3C73">
                  <w:pPr>
                    <w:autoSpaceDE w:val="0"/>
                    <w:autoSpaceDN w:val="0"/>
                    <w:adjustRightInd w:val="0"/>
                    <w:jc w:val="center"/>
                    <w:rPr>
                      <w:rFonts w:ascii="Avenir-Book" w:hAnsi="Avenir-Book" w:cs="Arial"/>
                      <w:b/>
                      <w:bCs/>
                    </w:rPr>
                  </w:pPr>
                  <w:r w:rsidRPr="00AD165E">
                    <w:rPr>
                      <w:rFonts w:ascii="Avenir-Book" w:hAnsi="Avenir-Book" w:cs="Arial"/>
                      <w:b/>
                      <w:bCs/>
                      <w:sz w:val="22"/>
                      <w:szCs w:val="22"/>
                    </w:rPr>
                    <w:t>VOCAL</w:t>
                  </w:r>
                </w:p>
              </w:tc>
              <w:tc>
                <w:tcPr>
                  <w:tcW w:w="3922" w:type="dxa"/>
                </w:tcPr>
                <w:p w:rsidR="000B3C73" w:rsidRPr="00AD165E" w:rsidRDefault="000B3C73" w:rsidP="000B3C73">
                  <w:pPr>
                    <w:autoSpaceDE w:val="0"/>
                    <w:autoSpaceDN w:val="0"/>
                    <w:adjustRightInd w:val="0"/>
                    <w:jc w:val="center"/>
                    <w:rPr>
                      <w:rFonts w:ascii="Avenir-Book" w:hAnsi="Avenir-Book" w:cs="Arial"/>
                      <w:b/>
                      <w:bCs/>
                    </w:rPr>
                  </w:pPr>
                </w:p>
              </w:tc>
            </w:tr>
          </w:tbl>
          <w:p w:rsidR="000B3C73" w:rsidRPr="00AD165E" w:rsidRDefault="00A95F16" w:rsidP="000B3C73">
            <w:pPr>
              <w:autoSpaceDE w:val="0"/>
              <w:autoSpaceDN w:val="0"/>
              <w:adjustRightInd w:val="0"/>
              <w:rPr>
                <w:rFonts w:ascii="Avenir-Book" w:hAnsi="Avenir-Book" w:cs="Arial"/>
                <w:b/>
                <w:bCs/>
              </w:rPr>
            </w:pPr>
            <w:r>
              <w:rPr>
                <w:rFonts w:ascii="Avenir-Book" w:hAnsi="Avenir-Book" w:cs="Arial"/>
                <w:b/>
                <w:bCs/>
              </w:rPr>
              <w:t xml:space="preserve"> </w:t>
            </w:r>
          </w:p>
        </w:tc>
        <w:tc>
          <w:tcPr>
            <w:tcW w:w="222" w:type="dxa"/>
            <w:shd w:val="clear" w:color="auto" w:fill="auto"/>
            <w:vAlign w:val="center"/>
          </w:tcPr>
          <w:p w:rsidR="000B3C73" w:rsidRPr="00AD165E" w:rsidRDefault="000B3C73" w:rsidP="000B3C73">
            <w:pPr>
              <w:autoSpaceDE w:val="0"/>
              <w:autoSpaceDN w:val="0"/>
              <w:adjustRightInd w:val="0"/>
              <w:jc w:val="center"/>
              <w:rPr>
                <w:rFonts w:ascii="Avenir-Book" w:hAnsi="Avenir-Book" w:cs="Arial"/>
                <w:b/>
                <w:bCs/>
              </w:rPr>
            </w:pPr>
          </w:p>
          <w:p w:rsidR="000B3C73" w:rsidRPr="00AD165E" w:rsidRDefault="000B3C73" w:rsidP="000B3C73">
            <w:pPr>
              <w:autoSpaceDE w:val="0"/>
              <w:autoSpaceDN w:val="0"/>
              <w:adjustRightInd w:val="0"/>
              <w:jc w:val="center"/>
              <w:rPr>
                <w:rFonts w:ascii="Avenir-Book" w:hAnsi="Avenir-Book" w:cs="Arial"/>
                <w:b/>
                <w:bCs/>
              </w:rPr>
            </w:pPr>
          </w:p>
        </w:tc>
      </w:tr>
    </w:tbl>
    <w:p w:rsidR="000B3C73" w:rsidRDefault="000B3C73"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Pr="00AD165E" w:rsidRDefault="00FF6A47" w:rsidP="00A95F16">
      <w:pPr>
        <w:rPr>
          <w:rFonts w:ascii="Avenir-Book" w:hAnsi="Avenir-Book"/>
          <w:sz w:val="22"/>
          <w:szCs w:val="22"/>
        </w:rPr>
      </w:pPr>
      <w:r>
        <w:rPr>
          <w:rFonts w:ascii="Avenir-Book" w:hAnsi="Avenir-Book"/>
          <w:sz w:val="22"/>
          <w:szCs w:val="22"/>
        </w:rPr>
        <w:t xml:space="preserve">Estas firmas pertenecen al </w:t>
      </w:r>
      <w:r w:rsidR="007D5FA8" w:rsidRPr="007D5FA8">
        <w:rPr>
          <w:rFonts w:ascii="Avenir-Book" w:hAnsi="Avenir-Book"/>
          <w:sz w:val="22"/>
          <w:szCs w:val="22"/>
        </w:rPr>
        <w:t>DICTAMEN POR EL QUE SE APRUEBA EL PRESUPUESTO DE EGRESOS DEL HONORABLE AYUNTAMIENTO DEL MUNICIPIO DE PUEBLA PARA EL EJERCICIO FISCAL 2019</w:t>
      </w:r>
    </w:p>
    <w:sectPr w:rsidR="00FF6A47" w:rsidRPr="00AD165E" w:rsidSect="007E61F1">
      <w:headerReference w:type="default" r:id="rId43"/>
      <w:footerReference w:type="default" r:id="rId44"/>
      <w:pgSz w:w="12240" w:h="15840"/>
      <w:pgMar w:top="1985"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CC4" w:rsidRDefault="00051CC4" w:rsidP="00276F0F">
      <w:r>
        <w:separator/>
      </w:r>
    </w:p>
  </w:endnote>
  <w:endnote w:type="continuationSeparator" w:id="0">
    <w:p w:rsidR="00051CC4" w:rsidRDefault="00051CC4" w:rsidP="0027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Book">
    <w:altName w:val="Calibri"/>
    <w:panose1 w:val="02000503020000020003"/>
    <w:charset w:val="00"/>
    <w:family w:val="auto"/>
    <w:pitch w:val="variable"/>
    <w:sig w:usb0="800000AF" w:usb1="5000204A" w:usb2="00000000" w:usb3="00000000" w:csb0="0000009B" w:csb1="00000000"/>
  </w:font>
  <w:font w:name="Gotham Bold">
    <w:altName w:val="Arial"/>
    <w:panose1 w:val="00000000000000000000"/>
    <w:charset w:val="00"/>
    <w:family w:val="modern"/>
    <w:notTrueType/>
    <w:pitch w:val="variable"/>
    <w:sig w:usb0="00000001"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ontserrat-Ligh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686900"/>
      <w:docPartObj>
        <w:docPartGallery w:val="Page Numbers (Bottom of Page)"/>
        <w:docPartUnique/>
      </w:docPartObj>
    </w:sdtPr>
    <w:sdtEndPr/>
    <w:sdtContent>
      <w:p w:rsidR="00FF6A47" w:rsidRDefault="00F3338A">
        <w:pPr>
          <w:pStyle w:val="Piedepgina"/>
          <w:jc w:val="right"/>
        </w:pPr>
        <w:r>
          <w:rPr>
            <w:noProof/>
          </w:rPr>
          <w:fldChar w:fldCharType="begin"/>
        </w:r>
        <w:r w:rsidR="00FF6A47">
          <w:rPr>
            <w:noProof/>
          </w:rPr>
          <w:instrText>PAGE   \* MERGEFORMAT</w:instrText>
        </w:r>
        <w:r>
          <w:rPr>
            <w:noProof/>
          </w:rPr>
          <w:fldChar w:fldCharType="separate"/>
        </w:r>
        <w:r w:rsidR="008D27BA">
          <w:rPr>
            <w:noProof/>
          </w:rPr>
          <w:t>2</w:t>
        </w:r>
        <w:r>
          <w:rPr>
            <w:noProof/>
          </w:rPr>
          <w:fldChar w:fldCharType="end"/>
        </w:r>
      </w:p>
    </w:sdtContent>
  </w:sdt>
  <w:p w:rsidR="00FF6A47" w:rsidRDefault="00FF6A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CC4" w:rsidRDefault="00051CC4" w:rsidP="00276F0F">
      <w:r>
        <w:separator/>
      </w:r>
    </w:p>
  </w:footnote>
  <w:footnote w:type="continuationSeparator" w:id="0">
    <w:p w:rsidR="00051CC4" w:rsidRDefault="00051CC4" w:rsidP="00276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A47" w:rsidRDefault="00FF6A47">
    <w:pPr>
      <w:pStyle w:val="Encabezado"/>
    </w:pPr>
    <w:r w:rsidRPr="00276F0F">
      <w:rPr>
        <w:noProof/>
        <w:lang w:val="es-MX" w:eastAsia="es-MX"/>
      </w:rPr>
      <w:drawing>
        <wp:anchor distT="0" distB="0" distL="114300" distR="114300" simplePos="0" relativeHeight="251659264" behindDoc="1" locked="0" layoutInCell="1" allowOverlap="1">
          <wp:simplePos x="0" y="0"/>
          <wp:positionH relativeFrom="column">
            <wp:posOffset>-1102182</wp:posOffset>
          </wp:positionH>
          <wp:positionV relativeFrom="paragraph">
            <wp:posOffset>-459854</wp:posOffset>
          </wp:positionV>
          <wp:extent cx="7779036" cy="1150705"/>
          <wp:effectExtent l="19050" t="0" r="0" b="0"/>
          <wp:wrapNone/>
          <wp:docPr id="17" name="Imagen 17" descr="../JPG/HOJAS%20MEMBRET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G/HOJAS%20MEMBRETADAS.jpg"/>
                  <pic:cNvPicPr>
                    <a:picLocks noChangeAspect="1" noChangeArrowheads="1"/>
                  </pic:cNvPicPr>
                </pic:nvPicPr>
                <pic:blipFill>
                  <a:blip r:embed="rId1">
                    <a:extLst>
                      <a:ext uri="{28A0092B-C50C-407E-A947-70E740481C1C}">
                        <a14:useLocalDpi xmlns:a14="http://schemas.microsoft.com/office/drawing/2010/main" val="0"/>
                      </a:ext>
                    </a:extLst>
                  </a:blip>
                  <a:srcRect b="88560"/>
                  <a:stretch>
                    <a:fillRect/>
                  </a:stretch>
                </pic:blipFill>
                <pic:spPr bwMode="auto">
                  <a:xfrm>
                    <a:off x="0" y="0"/>
                    <a:ext cx="7779036" cy="11507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CAE1FE4"/>
    <w:multiLevelType w:val="hybridMultilevel"/>
    <w:tmpl w:val="4A4CAF6A"/>
    <w:lvl w:ilvl="0" w:tplc="97947DA2">
      <w:start w:val="1"/>
      <w:numFmt w:val="upp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D786831"/>
    <w:multiLevelType w:val="hybridMultilevel"/>
    <w:tmpl w:val="1CBEF8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F3F38"/>
    <w:multiLevelType w:val="hybridMultilevel"/>
    <w:tmpl w:val="26060946"/>
    <w:lvl w:ilvl="0" w:tplc="0C569D26">
      <w:start w:val="1"/>
      <w:numFmt w:val="upperRoman"/>
      <w:lvlText w:val="%1."/>
      <w:lvlJc w:val="right"/>
      <w:pPr>
        <w:ind w:left="720" w:hanging="360"/>
      </w:pPr>
      <w:rPr>
        <w:b/>
        <w:strike w:val="0"/>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A00437"/>
    <w:multiLevelType w:val="hybridMultilevel"/>
    <w:tmpl w:val="A3440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A6C76"/>
    <w:multiLevelType w:val="hybridMultilevel"/>
    <w:tmpl w:val="7C72C1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F22B53"/>
    <w:multiLevelType w:val="hybridMultilevel"/>
    <w:tmpl w:val="A36AB51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49475D2"/>
    <w:multiLevelType w:val="hybridMultilevel"/>
    <w:tmpl w:val="7C80D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C967E3"/>
    <w:multiLevelType w:val="hybridMultilevel"/>
    <w:tmpl w:val="39D891B0"/>
    <w:lvl w:ilvl="0" w:tplc="89E6B4B0">
      <w:start w:val="1"/>
      <w:numFmt w:val="upperLetter"/>
      <w:lvlText w:val="%1)"/>
      <w:lvlJc w:val="left"/>
      <w:pPr>
        <w:ind w:left="1128" w:hanging="4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52F1806"/>
    <w:multiLevelType w:val="hybridMultilevel"/>
    <w:tmpl w:val="B6FA4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E5660F"/>
    <w:multiLevelType w:val="hybridMultilevel"/>
    <w:tmpl w:val="AE568C22"/>
    <w:lvl w:ilvl="0" w:tplc="AFD64A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330053"/>
    <w:multiLevelType w:val="hybridMultilevel"/>
    <w:tmpl w:val="3154E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A71265"/>
    <w:multiLevelType w:val="hybridMultilevel"/>
    <w:tmpl w:val="CAFE0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5C2695"/>
    <w:multiLevelType w:val="hybridMultilevel"/>
    <w:tmpl w:val="EA0A0732"/>
    <w:lvl w:ilvl="0" w:tplc="F60A667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4" w15:restartNumberingAfterBreak="0">
    <w:nsid w:val="4D6F60B5"/>
    <w:multiLevelType w:val="hybridMultilevel"/>
    <w:tmpl w:val="66C4E678"/>
    <w:lvl w:ilvl="0" w:tplc="10388666">
      <w:start w:val="1"/>
      <w:numFmt w:val="upperRoman"/>
      <w:lvlText w:val="%1."/>
      <w:lvlJc w:val="right"/>
      <w:pPr>
        <w:ind w:left="644" w:hanging="360"/>
      </w:pPr>
      <w:rPr>
        <w:rFonts w:ascii="Avenir-Book" w:hAnsi="Avenir-Book" w:hint="default"/>
      </w:rPr>
    </w:lvl>
    <w:lvl w:ilvl="1" w:tplc="19D8D5EC">
      <w:start w:val="1"/>
      <w:numFmt w:val="lowerLetter"/>
      <w:lvlText w:val="%2)"/>
      <w:lvlJc w:val="left"/>
      <w:pPr>
        <w:ind w:left="1440" w:hanging="360"/>
      </w:pPr>
      <w:rPr>
        <w:rFonts w:ascii="Avenir-Book" w:hAnsi="Avenir-Book" w:hint="default"/>
      </w:rPr>
    </w:lvl>
    <w:lvl w:ilvl="2" w:tplc="B268AD62">
      <w:start w:val="1"/>
      <w:numFmt w:val="lowerRoman"/>
      <w:lvlText w:val="%3."/>
      <w:lvlJc w:val="right"/>
      <w:pPr>
        <w:ind w:left="2160" w:hanging="180"/>
      </w:pPr>
      <w:rPr>
        <w:rFonts w:ascii="Gotham Bold" w:hAnsi="Gotham Bold"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4B252F"/>
    <w:multiLevelType w:val="hybridMultilevel"/>
    <w:tmpl w:val="AA786338"/>
    <w:lvl w:ilvl="0" w:tplc="0BAAC852">
      <w:start w:val="1"/>
      <w:numFmt w:val="decimal"/>
      <w:lvlText w:val="%1."/>
      <w:lvlJc w:val="left"/>
      <w:pPr>
        <w:ind w:left="644"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9310460"/>
    <w:multiLevelType w:val="hybridMultilevel"/>
    <w:tmpl w:val="2FCCEB28"/>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62A81DD7"/>
    <w:multiLevelType w:val="hybridMultilevel"/>
    <w:tmpl w:val="5D504E6C"/>
    <w:lvl w:ilvl="0" w:tplc="629C98AA">
      <w:start w:val="1"/>
      <w:numFmt w:val="upperRoman"/>
      <w:lvlText w:val="%1."/>
      <w:lvlJc w:val="left"/>
      <w:pPr>
        <w:ind w:left="360" w:hanging="360"/>
      </w:pPr>
      <w:rPr>
        <w:rFonts w:ascii="Arial" w:eastAsia="Calibri"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8" w15:restartNumberingAfterBreak="0">
    <w:nsid w:val="65D44CD8"/>
    <w:multiLevelType w:val="hybridMultilevel"/>
    <w:tmpl w:val="9E9C3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7D5CBD"/>
    <w:multiLevelType w:val="hybridMultilevel"/>
    <w:tmpl w:val="F22E86B2"/>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20" w15:restartNumberingAfterBreak="0">
    <w:nsid w:val="73066D9F"/>
    <w:multiLevelType w:val="hybridMultilevel"/>
    <w:tmpl w:val="8E805C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E8619B"/>
    <w:multiLevelType w:val="hybridMultilevel"/>
    <w:tmpl w:val="AA786338"/>
    <w:lvl w:ilvl="0" w:tplc="0BAAC852">
      <w:start w:val="1"/>
      <w:numFmt w:val="decimal"/>
      <w:lvlText w:val="%1."/>
      <w:lvlJc w:val="left"/>
      <w:pPr>
        <w:ind w:left="644"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09782D"/>
    <w:multiLevelType w:val="hybridMultilevel"/>
    <w:tmpl w:val="69182A94"/>
    <w:lvl w:ilvl="0" w:tplc="1F9C1FF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C1172EE"/>
    <w:multiLevelType w:val="hybridMultilevel"/>
    <w:tmpl w:val="D79C2DF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4" w15:restartNumberingAfterBreak="0">
    <w:nsid w:val="7D306C79"/>
    <w:multiLevelType w:val="hybridMultilevel"/>
    <w:tmpl w:val="6C28B43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6"/>
  </w:num>
  <w:num w:numId="2">
    <w:abstractNumId w:val="17"/>
  </w:num>
  <w:num w:numId="3">
    <w:abstractNumId w:val="3"/>
  </w:num>
  <w:num w:numId="4">
    <w:abstractNumId w:val="22"/>
  </w:num>
  <w:num w:numId="5">
    <w:abstractNumId w:val="21"/>
  </w:num>
  <w:num w:numId="6">
    <w:abstractNumId w:val="9"/>
  </w:num>
  <w:num w:numId="7">
    <w:abstractNumId w:val="5"/>
  </w:num>
  <w:num w:numId="8">
    <w:abstractNumId w:val="19"/>
  </w:num>
  <w:num w:numId="9">
    <w:abstractNumId w:val="12"/>
  </w:num>
  <w:num w:numId="10">
    <w:abstractNumId w:val="11"/>
  </w:num>
  <w:num w:numId="11">
    <w:abstractNumId w:val="23"/>
  </w:num>
  <w:num w:numId="12">
    <w:abstractNumId w:val="7"/>
  </w:num>
  <w:num w:numId="13">
    <w:abstractNumId w:val="13"/>
  </w:num>
  <w:num w:numId="14">
    <w:abstractNumId w:val="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 w:numId="18">
    <w:abstractNumId w:val="20"/>
  </w:num>
  <w:num w:numId="19">
    <w:abstractNumId w:val="10"/>
  </w:num>
  <w:num w:numId="20">
    <w:abstractNumId w:val="18"/>
  </w:num>
  <w:num w:numId="21">
    <w:abstractNumId w:val="2"/>
  </w:num>
  <w:num w:numId="22">
    <w:abstractNumId w:val="4"/>
  </w:num>
  <w:num w:numId="23">
    <w:abstractNumId w:val="14"/>
  </w:num>
  <w:num w:numId="24">
    <w:abstractNumId w:val="15"/>
  </w:num>
  <w:num w:numId="25">
    <w:abstractNumId w:val="6"/>
  </w:num>
  <w:num w:numId="2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0F"/>
    <w:rsid w:val="000036F1"/>
    <w:rsid w:val="00025BDF"/>
    <w:rsid w:val="00032B02"/>
    <w:rsid w:val="00036967"/>
    <w:rsid w:val="00041F46"/>
    <w:rsid w:val="00051264"/>
    <w:rsid w:val="00051CC4"/>
    <w:rsid w:val="0005389C"/>
    <w:rsid w:val="00054950"/>
    <w:rsid w:val="00066E90"/>
    <w:rsid w:val="00070431"/>
    <w:rsid w:val="000822BB"/>
    <w:rsid w:val="00084974"/>
    <w:rsid w:val="00085993"/>
    <w:rsid w:val="00087D96"/>
    <w:rsid w:val="000A2460"/>
    <w:rsid w:val="000B1AF4"/>
    <w:rsid w:val="000B3C73"/>
    <w:rsid w:val="000B51E0"/>
    <w:rsid w:val="000B7A0F"/>
    <w:rsid w:val="000C1740"/>
    <w:rsid w:val="000D23FB"/>
    <w:rsid w:val="000D3B04"/>
    <w:rsid w:val="000D79CB"/>
    <w:rsid w:val="000E24AD"/>
    <w:rsid w:val="000E5D0C"/>
    <w:rsid w:val="000E67BC"/>
    <w:rsid w:val="000F46DE"/>
    <w:rsid w:val="000F4A56"/>
    <w:rsid w:val="00100961"/>
    <w:rsid w:val="00111365"/>
    <w:rsid w:val="00115145"/>
    <w:rsid w:val="00117E28"/>
    <w:rsid w:val="001248B5"/>
    <w:rsid w:val="00132800"/>
    <w:rsid w:val="001414C3"/>
    <w:rsid w:val="00141AF4"/>
    <w:rsid w:val="001424AA"/>
    <w:rsid w:val="001529AB"/>
    <w:rsid w:val="0016122B"/>
    <w:rsid w:val="001660DF"/>
    <w:rsid w:val="001778E3"/>
    <w:rsid w:val="0018221B"/>
    <w:rsid w:val="001838B8"/>
    <w:rsid w:val="001A0974"/>
    <w:rsid w:val="001A2CAE"/>
    <w:rsid w:val="001A46FB"/>
    <w:rsid w:val="001B1B32"/>
    <w:rsid w:val="001B3004"/>
    <w:rsid w:val="001C2EC2"/>
    <w:rsid w:val="001D3344"/>
    <w:rsid w:val="001D6774"/>
    <w:rsid w:val="001E4062"/>
    <w:rsid w:val="001E49DF"/>
    <w:rsid w:val="001F162E"/>
    <w:rsid w:val="001F38BD"/>
    <w:rsid w:val="001F4905"/>
    <w:rsid w:val="001F59C0"/>
    <w:rsid w:val="0020279A"/>
    <w:rsid w:val="0021296E"/>
    <w:rsid w:val="002174E1"/>
    <w:rsid w:val="00217ED2"/>
    <w:rsid w:val="00223407"/>
    <w:rsid w:val="0022550D"/>
    <w:rsid w:val="00226EA8"/>
    <w:rsid w:val="002356EE"/>
    <w:rsid w:val="0024521F"/>
    <w:rsid w:val="002539D2"/>
    <w:rsid w:val="00255BDB"/>
    <w:rsid w:val="00256260"/>
    <w:rsid w:val="0027089C"/>
    <w:rsid w:val="00272254"/>
    <w:rsid w:val="00274C74"/>
    <w:rsid w:val="00274EC2"/>
    <w:rsid w:val="00274F38"/>
    <w:rsid w:val="00276F0F"/>
    <w:rsid w:val="00280B3A"/>
    <w:rsid w:val="002821C8"/>
    <w:rsid w:val="00287AEE"/>
    <w:rsid w:val="0029148E"/>
    <w:rsid w:val="0029514C"/>
    <w:rsid w:val="002A3E4C"/>
    <w:rsid w:val="002A687F"/>
    <w:rsid w:val="002B0726"/>
    <w:rsid w:val="002B42AE"/>
    <w:rsid w:val="002C11EA"/>
    <w:rsid w:val="002C26A8"/>
    <w:rsid w:val="002D28BA"/>
    <w:rsid w:val="002D5F62"/>
    <w:rsid w:val="002D72D0"/>
    <w:rsid w:val="002E2FBE"/>
    <w:rsid w:val="002E4EA2"/>
    <w:rsid w:val="002E536D"/>
    <w:rsid w:val="002E73C7"/>
    <w:rsid w:val="002F24AE"/>
    <w:rsid w:val="002F2BA0"/>
    <w:rsid w:val="0031150E"/>
    <w:rsid w:val="0031613E"/>
    <w:rsid w:val="003171F2"/>
    <w:rsid w:val="003216F7"/>
    <w:rsid w:val="003247D6"/>
    <w:rsid w:val="00334835"/>
    <w:rsid w:val="00335856"/>
    <w:rsid w:val="003443C1"/>
    <w:rsid w:val="00346304"/>
    <w:rsid w:val="0035067F"/>
    <w:rsid w:val="00362450"/>
    <w:rsid w:val="00372C51"/>
    <w:rsid w:val="0037639C"/>
    <w:rsid w:val="0038696C"/>
    <w:rsid w:val="00387826"/>
    <w:rsid w:val="00390BDE"/>
    <w:rsid w:val="003919E2"/>
    <w:rsid w:val="003A1054"/>
    <w:rsid w:val="003A16E7"/>
    <w:rsid w:val="003A1D67"/>
    <w:rsid w:val="003A452B"/>
    <w:rsid w:val="003A5E4F"/>
    <w:rsid w:val="003A5E98"/>
    <w:rsid w:val="003B11EE"/>
    <w:rsid w:val="003C67E2"/>
    <w:rsid w:val="003E42CB"/>
    <w:rsid w:val="003F08F0"/>
    <w:rsid w:val="003F3471"/>
    <w:rsid w:val="003F6B6A"/>
    <w:rsid w:val="0040260F"/>
    <w:rsid w:val="004074B0"/>
    <w:rsid w:val="00407767"/>
    <w:rsid w:val="00407C96"/>
    <w:rsid w:val="00440869"/>
    <w:rsid w:val="00445EDB"/>
    <w:rsid w:val="004555E7"/>
    <w:rsid w:val="00456BC7"/>
    <w:rsid w:val="004572DB"/>
    <w:rsid w:val="0046500D"/>
    <w:rsid w:val="00471297"/>
    <w:rsid w:val="004837E5"/>
    <w:rsid w:val="004839D9"/>
    <w:rsid w:val="004842CA"/>
    <w:rsid w:val="0048519F"/>
    <w:rsid w:val="00486BDB"/>
    <w:rsid w:val="004941B1"/>
    <w:rsid w:val="004A0D66"/>
    <w:rsid w:val="004A0DCD"/>
    <w:rsid w:val="004B2B70"/>
    <w:rsid w:val="004B43F3"/>
    <w:rsid w:val="004B78D4"/>
    <w:rsid w:val="004C0219"/>
    <w:rsid w:val="004D0472"/>
    <w:rsid w:val="004D3763"/>
    <w:rsid w:val="004D54EA"/>
    <w:rsid w:val="004E10CF"/>
    <w:rsid w:val="004F443B"/>
    <w:rsid w:val="004F6678"/>
    <w:rsid w:val="004F756D"/>
    <w:rsid w:val="00501C32"/>
    <w:rsid w:val="005065E3"/>
    <w:rsid w:val="00514CE4"/>
    <w:rsid w:val="005263A1"/>
    <w:rsid w:val="00530454"/>
    <w:rsid w:val="00533ECB"/>
    <w:rsid w:val="00540879"/>
    <w:rsid w:val="005469BC"/>
    <w:rsid w:val="005543FE"/>
    <w:rsid w:val="0055484D"/>
    <w:rsid w:val="0057125A"/>
    <w:rsid w:val="00571F0A"/>
    <w:rsid w:val="00580575"/>
    <w:rsid w:val="0058293B"/>
    <w:rsid w:val="005866D9"/>
    <w:rsid w:val="00591209"/>
    <w:rsid w:val="005966A9"/>
    <w:rsid w:val="005A3034"/>
    <w:rsid w:val="005A53CC"/>
    <w:rsid w:val="005A7F37"/>
    <w:rsid w:val="005C3F86"/>
    <w:rsid w:val="005C681F"/>
    <w:rsid w:val="005E161F"/>
    <w:rsid w:val="005F5361"/>
    <w:rsid w:val="006047FE"/>
    <w:rsid w:val="00605DA8"/>
    <w:rsid w:val="00606F00"/>
    <w:rsid w:val="006112E0"/>
    <w:rsid w:val="00616036"/>
    <w:rsid w:val="00623F6A"/>
    <w:rsid w:val="006249FF"/>
    <w:rsid w:val="00625577"/>
    <w:rsid w:val="00640CA6"/>
    <w:rsid w:val="006428D6"/>
    <w:rsid w:val="0065478C"/>
    <w:rsid w:val="006601A3"/>
    <w:rsid w:val="00667F68"/>
    <w:rsid w:val="00673AC6"/>
    <w:rsid w:val="00674085"/>
    <w:rsid w:val="006813EB"/>
    <w:rsid w:val="00687531"/>
    <w:rsid w:val="006946B5"/>
    <w:rsid w:val="006946EF"/>
    <w:rsid w:val="006A3FF9"/>
    <w:rsid w:val="006A63AE"/>
    <w:rsid w:val="006B571D"/>
    <w:rsid w:val="006C4E3B"/>
    <w:rsid w:val="006D432A"/>
    <w:rsid w:val="006E3024"/>
    <w:rsid w:val="006F1DFE"/>
    <w:rsid w:val="007136FB"/>
    <w:rsid w:val="00716DC9"/>
    <w:rsid w:val="00722546"/>
    <w:rsid w:val="00723F7F"/>
    <w:rsid w:val="007262BB"/>
    <w:rsid w:val="00740A55"/>
    <w:rsid w:val="00741BAE"/>
    <w:rsid w:val="00747469"/>
    <w:rsid w:val="0074771E"/>
    <w:rsid w:val="00747DF9"/>
    <w:rsid w:val="00755AFF"/>
    <w:rsid w:val="00763831"/>
    <w:rsid w:val="00766A9F"/>
    <w:rsid w:val="00767C5B"/>
    <w:rsid w:val="00772AD2"/>
    <w:rsid w:val="00774264"/>
    <w:rsid w:val="00775EF8"/>
    <w:rsid w:val="007805B1"/>
    <w:rsid w:val="00786586"/>
    <w:rsid w:val="00792246"/>
    <w:rsid w:val="007953F6"/>
    <w:rsid w:val="00795F30"/>
    <w:rsid w:val="00795F45"/>
    <w:rsid w:val="007A0F07"/>
    <w:rsid w:val="007B2D0D"/>
    <w:rsid w:val="007D5FA8"/>
    <w:rsid w:val="007D7079"/>
    <w:rsid w:val="007E61F1"/>
    <w:rsid w:val="007F6463"/>
    <w:rsid w:val="00800195"/>
    <w:rsid w:val="00801C04"/>
    <w:rsid w:val="00804EAE"/>
    <w:rsid w:val="008167EF"/>
    <w:rsid w:val="008226BC"/>
    <w:rsid w:val="008239A3"/>
    <w:rsid w:val="0085101F"/>
    <w:rsid w:val="0086507D"/>
    <w:rsid w:val="008737C9"/>
    <w:rsid w:val="00876306"/>
    <w:rsid w:val="008820C1"/>
    <w:rsid w:val="00885D2A"/>
    <w:rsid w:val="00892B5A"/>
    <w:rsid w:val="008A3332"/>
    <w:rsid w:val="008A58CF"/>
    <w:rsid w:val="008A5F74"/>
    <w:rsid w:val="008C0479"/>
    <w:rsid w:val="008C169F"/>
    <w:rsid w:val="008C1FBB"/>
    <w:rsid w:val="008D088B"/>
    <w:rsid w:val="008D27A6"/>
    <w:rsid w:val="008D27BA"/>
    <w:rsid w:val="008D3BB6"/>
    <w:rsid w:val="008D7197"/>
    <w:rsid w:val="008E01B0"/>
    <w:rsid w:val="008E0E63"/>
    <w:rsid w:val="008E2753"/>
    <w:rsid w:val="008E7130"/>
    <w:rsid w:val="008F2506"/>
    <w:rsid w:val="008F391F"/>
    <w:rsid w:val="008F4504"/>
    <w:rsid w:val="008F5E30"/>
    <w:rsid w:val="00904C0A"/>
    <w:rsid w:val="00911105"/>
    <w:rsid w:val="009140FA"/>
    <w:rsid w:val="00921A61"/>
    <w:rsid w:val="00931B11"/>
    <w:rsid w:val="0093206D"/>
    <w:rsid w:val="00934D8B"/>
    <w:rsid w:val="0094029A"/>
    <w:rsid w:val="00941DC9"/>
    <w:rsid w:val="009437F9"/>
    <w:rsid w:val="009536CF"/>
    <w:rsid w:val="00957282"/>
    <w:rsid w:val="0096668D"/>
    <w:rsid w:val="0096712E"/>
    <w:rsid w:val="00973DF1"/>
    <w:rsid w:val="00977BAB"/>
    <w:rsid w:val="00983D9F"/>
    <w:rsid w:val="0098531C"/>
    <w:rsid w:val="00986BEA"/>
    <w:rsid w:val="00991F96"/>
    <w:rsid w:val="009934EC"/>
    <w:rsid w:val="009A6FEA"/>
    <w:rsid w:val="009A7A51"/>
    <w:rsid w:val="009B6E4F"/>
    <w:rsid w:val="009C1340"/>
    <w:rsid w:val="009C47EC"/>
    <w:rsid w:val="009D23D4"/>
    <w:rsid w:val="009D3F88"/>
    <w:rsid w:val="009D4DBF"/>
    <w:rsid w:val="009D718A"/>
    <w:rsid w:val="009F682A"/>
    <w:rsid w:val="009F6EB2"/>
    <w:rsid w:val="009F7114"/>
    <w:rsid w:val="009F73C9"/>
    <w:rsid w:val="009F7F92"/>
    <w:rsid w:val="00A06DB0"/>
    <w:rsid w:val="00A06DC2"/>
    <w:rsid w:val="00A26CD4"/>
    <w:rsid w:val="00A3284A"/>
    <w:rsid w:val="00A42701"/>
    <w:rsid w:val="00A532EA"/>
    <w:rsid w:val="00A54B2A"/>
    <w:rsid w:val="00A8331E"/>
    <w:rsid w:val="00A84290"/>
    <w:rsid w:val="00A84660"/>
    <w:rsid w:val="00A90C58"/>
    <w:rsid w:val="00A9475A"/>
    <w:rsid w:val="00A95F16"/>
    <w:rsid w:val="00A97230"/>
    <w:rsid w:val="00AA2431"/>
    <w:rsid w:val="00AA3091"/>
    <w:rsid w:val="00AB2381"/>
    <w:rsid w:val="00AB42A6"/>
    <w:rsid w:val="00AB50FD"/>
    <w:rsid w:val="00AD02BB"/>
    <w:rsid w:val="00AD165E"/>
    <w:rsid w:val="00AD2964"/>
    <w:rsid w:val="00AD3D58"/>
    <w:rsid w:val="00AE0A4D"/>
    <w:rsid w:val="00AE49D2"/>
    <w:rsid w:val="00AE6FA5"/>
    <w:rsid w:val="00AE7D1C"/>
    <w:rsid w:val="00AF1909"/>
    <w:rsid w:val="00AF2805"/>
    <w:rsid w:val="00AF37D2"/>
    <w:rsid w:val="00AF527F"/>
    <w:rsid w:val="00B0088D"/>
    <w:rsid w:val="00B04D52"/>
    <w:rsid w:val="00B0528F"/>
    <w:rsid w:val="00B06A39"/>
    <w:rsid w:val="00B06E26"/>
    <w:rsid w:val="00B10E2B"/>
    <w:rsid w:val="00B12D11"/>
    <w:rsid w:val="00B17223"/>
    <w:rsid w:val="00B23803"/>
    <w:rsid w:val="00B30B5C"/>
    <w:rsid w:val="00B425A3"/>
    <w:rsid w:val="00B44F2A"/>
    <w:rsid w:val="00B45054"/>
    <w:rsid w:val="00B55AEA"/>
    <w:rsid w:val="00B60669"/>
    <w:rsid w:val="00B61033"/>
    <w:rsid w:val="00B66427"/>
    <w:rsid w:val="00B8266C"/>
    <w:rsid w:val="00B83E0B"/>
    <w:rsid w:val="00B90002"/>
    <w:rsid w:val="00B9217E"/>
    <w:rsid w:val="00B93490"/>
    <w:rsid w:val="00B93F52"/>
    <w:rsid w:val="00B97F78"/>
    <w:rsid w:val="00BA38E6"/>
    <w:rsid w:val="00BA4B81"/>
    <w:rsid w:val="00BA7464"/>
    <w:rsid w:val="00BB78ED"/>
    <w:rsid w:val="00BC00EB"/>
    <w:rsid w:val="00BC5360"/>
    <w:rsid w:val="00BC6866"/>
    <w:rsid w:val="00BD400C"/>
    <w:rsid w:val="00BD503D"/>
    <w:rsid w:val="00BE3A91"/>
    <w:rsid w:val="00BF4DE3"/>
    <w:rsid w:val="00C032B2"/>
    <w:rsid w:val="00C0653F"/>
    <w:rsid w:val="00C07B56"/>
    <w:rsid w:val="00C07EC1"/>
    <w:rsid w:val="00C22405"/>
    <w:rsid w:val="00C250D8"/>
    <w:rsid w:val="00C2554B"/>
    <w:rsid w:val="00C259F4"/>
    <w:rsid w:val="00C3161B"/>
    <w:rsid w:val="00C3206C"/>
    <w:rsid w:val="00C35778"/>
    <w:rsid w:val="00C41818"/>
    <w:rsid w:val="00C46A5B"/>
    <w:rsid w:val="00C47A9B"/>
    <w:rsid w:val="00C51560"/>
    <w:rsid w:val="00C55E80"/>
    <w:rsid w:val="00C615B7"/>
    <w:rsid w:val="00C616AB"/>
    <w:rsid w:val="00C61C1F"/>
    <w:rsid w:val="00C65E92"/>
    <w:rsid w:val="00C74D13"/>
    <w:rsid w:val="00C82FD9"/>
    <w:rsid w:val="00C91923"/>
    <w:rsid w:val="00C92C7E"/>
    <w:rsid w:val="00C9483B"/>
    <w:rsid w:val="00CA4270"/>
    <w:rsid w:val="00CA5E2C"/>
    <w:rsid w:val="00CB2ED7"/>
    <w:rsid w:val="00CC5EDD"/>
    <w:rsid w:val="00CD098E"/>
    <w:rsid w:val="00CD7E89"/>
    <w:rsid w:val="00CE6C1A"/>
    <w:rsid w:val="00CE73C3"/>
    <w:rsid w:val="00CF29DB"/>
    <w:rsid w:val="00CF6111"/>
    <w:rsid w:val="00D02A94"/>
    <w:rsid w:val="00D11266"/>
    <w:rsid w:val="00D115C4"/>
    <w:rsid w:val="00D11EEB"/>
    <w:rsid w:val="00D1707F"/>
    <w:rsid w:val="00D21D3D"/>
    <w:rsid w:val="00D27CB3"/>
    <w:rsid w:val="00D30020"/>
    <w:rsid w:val="00D40995"/>
    <w:rsid w:val="00D4365A"/>
    <w:rsid w:val="00D4779F"/>
    <w:rsid w:val="00D61AFD"/>
    <w:rsid w:val="00D629C4"/>
    <w:rsid w:val="00D83E87"/>
    <w:rsid w:val="00DB14D6"/>
    <w:rsid w:val="00DB1873"/>
    <w:rsid w:val="00DB3897"/>
    <w:rsid w:val="00DB77D6"/>
    <w:rsid w:val="00DE33BD"/>
    <w:rsid w:val="00DE475C"/>
    <w:rsid w:val="00DE5E4C"/>
    <w:rsid w:val="00DE7B0F"/>
    <w:rsid w:val="00DF4475"/>
    <w:rsid w:val="00DF6159"/>
    <w:rsid w:val="00E11166"/>
    <w:rsid w:val="00E11AA8"/>
    <w:rsid w:val="00E151D6"/>
    <w:rsid w:val="00E24A29"/>
    <w:rsid w:val="00E25F11"/>
    <w:rsid w:val="00E2714B"/>
    <w:rsid w:val="00E309C6"/>
    <w:rsid w:val="00E32AA4"/>
    <w:rsid w:val="00E330D2"/>
    <w:rsid w:val="00E33190"/>
    <w:rsid w:val="00E5484C"/>
    <w:rsid w:val="00E55921"/>
    <w:rsid w:val="00E57D81"/>
    <w:rsid w:val="00E66A27"/>
    <w:rsid w:val="00E66A7F"/>
    <w:rsid w:val="00E66F57"/>
    <w:rsid w:val="00E70859"/>
    <w:rsid w:val="00E71E31"/>
    <w:rsid w:val="00E80013"/>
    <w:rsid w:val="00E83ABD"/>
    <w:rsid w:val="00E97664"/>
    <w:rsid w:val="00EB3504"/>
    <w:rsid w:val="00EC1D76"/>
    <w:rsid w:val="00EC2C59"/>
    <w:rsid w:val="00EC4D0C"/>
    <w:rsid w:val="00ED6E84"/>
    <w:rsid w:val="00ED7994"/>
    <w:rsid w:val="00EE5643"/>
    <w:rsid w:val="00EF1ACD"/>
    <w:rsid w:val="00EF1DB6"/>
    <w:rsid w:val="00F045C4"/>
    <w:rsid w:val="00F06CC6"/>
    <w:rsid w:val="00F13FBC"/>
    <w:rsid w:val="00F14CC6"/>
    <w:rsid w:val="00F3338A"/>
    <w:rsid w:val="00F36DEF"/>
    <w:rsid w:val="00F53E43"/>
    <w:rsid w:val="00F71E98"/>
    <w:rsid w:val="00F75525"/>
    <w:rsid w:val="00F910D9"/>
    <w:rsid w:val="00F91217"/>
    <w:rsid w:val="00F96A2C"/>
    <w:rsid w:val="00FA0CB4"/>
    <w:rsid w:val="00FA3638"/>
    <w:rsid w:val="00FA6158"/>
    <w:rsid w:val="00FB42BB"/>
    <w:rsid w:val="00FC0B39"/>
    <w:rsid w:val="00FC33B0"/>
    <w:rsid w:val="00FC4318"/>
    <w:rsid w:val="00FC50AE"/>
    <w:rsid w:val="00FC5BE4"/>
    <w:rsid w:val="00FD1A22"/>
    <w:rsid w:val="00FE4BAC"/>
    <w:rsid w:val="00FF6A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2B5BEE-5FA5-46BF-AE5D-E5FCFEF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7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3C73"/>
    <w:pPr>
      <w:keepNext/>
      <w:keepLines/>
      <w:spacing w:before="480" w:line="276" w:lineRule="auto"/>
      <w:outlineLvl w:val="0"/>
    </w:pPr>
    <w:rPr>
      <w:rFonts w:ascii="Cambria" w:hAnsi="Cambria"/>
      <w:b/>
      <w:bCs/>
      <w:color w:val="365F91"/>
      <w:sz w:val="28"/>
      <w:szCs w:val="28"/>
      <w:lang w:val="es-MX" w:eastAsia="en-US"/>
    </w:rPr>
  </w:style>
  <w:style w:type="paragraph" w:styleId="Ttulo2">
    <w:name w:val="heading 2"/>
    <w:basedOn w:val="Normal"/>
    <w:next w:val="Normal"/>
    <w:link w:val="Ttulo2Car"/>
    <w:uiPriority w:val="9"/>
    <w:unhideWhenUsed/>
    <w:qFormat/>
    <w:rsid w:val="000B3C73"/>
    <w:pPr>
      <w:keepNext/>
      <w:keepLines/>
      <w:spacing w:before="200"/>
      <w:outlineLvl w:val="1"/>
    </w:pPr>
    <w:rPr>
      <w:rFonts w:ascii="Cambria" w:hAnsi="Cambria"/>
      <w:b/>
      <w:bCs/>
      <w:color w:val="000000"/>
      <w:sz w:val="28"/>
      <w:szCs w:val="26"/>
      <w:lang w:val="es-MX" w:eastAsia="en-US"/>
    </w:rPr>
  </w:style>
  <w:style w:type="paragraph" w:styleId="Ttulo3">
    <w:name w:val="heading 3"/>
    <w:basedOn w:val="Normal"/>
    <w:next w:val="Normal"/>
    <w:link w:val="Ttulo3Car"/>
    <w:uiPriority w:val="9"/>
    <w:semiHidden/>
    <w:unhideWhenUsed/>
    <w:qFormat/>
    <w:rsid w:val="000B3C73"/>
    <w:pPr>
      <w:keepNext/>
      <w:spacing w:before="240" w:after="60" w:line="276" w:lineRule="auto"/>
      <w:outlineLvl w:val="2"/>
    </w:pPr>
    <w:rPr>
      <w:rFonts w:ascii="Cambria" w:hAnsi="Cambria"/>
      <w:b/>
      <w:bCs/>
      <w:sz w:val="26"/>
      <w:szCs w:val="26"/>
      <w:lang w:val="es-MX" w:eastAsia="en-US"/>
    </w:rPr>
  </w:style>
  <w:style w:type="paragraph" w:styleId="Ttulo4">
    <w:name w:val="heading 4"/>
    <w:basedOn w:val="Normal"/>
    <w:link w:val="Ttulo4Car"/>
    <w:uiPriority w:val="9"/>
    <w:semiHidden/>
    <w:unhideWhenUsed/>
    <w:qFormat/>
    <w:rsid w:val="000B3C73"/>
    <w:pPr>
      <w:keepNext/>
      <w:spacing w:before="240" w:after="60" w:line="276" w:lineRule="auto"/>
      <w:outlineLvl w:val="3"/>
    </w:pPr>
    <w:rPr>
      <w:rFonts w:ascii="Calibri" w:hAnsi="Calibri"/>
      <w:b/>
      <w:bCs/>
      <w:sz w:val="28"/>
      <w:szCs w:val="28"/>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3C73"/>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0B3C73"/>
    <w:rPr>
      <w:rFonts w:ascii="Cambria" w:eastAsia="Times New Roman" w:hAnsi="Cambria" w:cs="Times New Roman"/>
      <w:b/>
      <w:bCs/>
      <w:color w:val="000000"/>
      <w:sz w:val="28"/>
      <w:szCs w:val="26"/>
    </w:rPr>
  </w:style>
  <w:style w:type="character" w:customStyle="1" w:styleId="Ttulo3Car">
    <w:name w:val="Título 3 Car"/>
    <w:basedOn w:val="Fuentedeprrafopredeter"/>
    <w:link w:val="Ttulo3"/>
    <w:uiPriority w:val="9"/>
    <w:semiHidden/>
    <w:rsid w:val="000B3C73"/>
    <w:rPr>
      <w:rFonts w:ascii="Cambria" w:eastAsia="Times New Roman" w:hAnsi="Cambria" w:cs="Times New Roman"/>
      <w:b/>
      <w:bCs/>
      <w:sz w:val="26"/>
      <w:szCs w:val="26"/>
    </w:rPr>
  </w:style>
  <w:style w:type="paragraph" w:styleId="Encabezado">
    <w:name w:val="header"/>
    <w:basedOn w:val="Normal"/>
    <w:link w:val="EncabezadoCar"/>
    <w:uiPriority w:val="99"/>
    <w:unhideWhenUsed/>
    <w:rsid w:val="00276F0F"/>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76F0F"/>
    <w:rPr>
      <w:lang w:val="es-ES"/>
    </w:rPr>
  </w:style>
  <w:style w:type="paragraph" w:styleId="Piedepgina">
    <w:name w:val="footer"/>
    <w:basedOn w:val="Normal"/>
    <w:link w:val="PiedepginaCar"/>
    <w:uiPriority w:val="99"/>
    <w:unhideWhenUsed/>
    <w:rsid w:val="00276F0F"/>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76F0F"/>
    <w:rPr>
      <w:lang w:val="es-ES"/>
    </w:rPr>
  </w:style>
  <w:style w:type="character" w:customStyle="1" w:styleId="Ttulo4Car">
    <w:name w:val="Título 4 Car"/>
    <w:basedOn w:val="Fuentedeprrafopredeter"/>
    <w:link w:val="Ttulo4"/>
    <w:uiPriority w:val="9"/>
    <w:semiHidden/>
    <w:rsid w:val="000B3C73"/>
    <w:rPr>
      <w:rFonts w:ascii="Calibri" w:eastAsia="Times New Roman" w:hAnsi="Calibri" w:cs="Times New Roman"/>
      <w:b/>
      <w:bCs/>
      <w:sz w:val="28"/>
      <w:szCs w:val="28"/>
    </w:rPr>
  </w:style>
  <w:style w:type="character" w:customStyle="1" w:styleId="TextodegloboCar">
    <w:name w:val="Texto de globo Car"/>
    <w:basedOn w:val="Fuentedeprrafopredeter"/>
    <w:link w:val="Textodeglobo"/>
    <w:uiPriority w:val="99"/>
    <w:semiHidden/>
    <w:rsid w:val="000B3C73"/>
    <w:rPr>
      <w:rFonts w:ascii="Lucida Grande" w:eastAsiaTheme="minorEastAsia" w:hAnsi="Lucida Grande"/>
      <w:sz w:val="18"/>
      <w:szCs w:val="18"/>
      <w:lang w:val="es-ES_tradnl" w:eastAsia="es-ES"/>
    </w:rPr>
  </w:style>
  <w:style w:type="paragraph" w:styleId="Textodeglobo">
    <w:name w:val="Balloon Text"/>
    <w:basedOn w:val="Normal"/>
    <w:link w:val="TextodegloboCar"/>
    <w:uiPriority w:val="99"/>
    <w:semiHidden/>
    <w:unhideWhenUsed/>
    <w:rsid w:val="000B3C73"/>
    <w:rPr>
      <w:rFonts w:ascii="Lucida Grande" w:eastAsiaTheme="minorEastAsia" w:hAnsi="Lucida Grande" w:cstheme="minorBidi"/>
      <w:sz w:val="18"/>
      <w:szCs w:val="18"/>
      <w:lang w:val="es-ES_tradnl"/>
    </w:rPr>
  </w:style>
  <w:style w:type="character" w:styleId="Textoennegrita">
    <w:name w:val="Strong"/>
    <w:uiPriority w:val="22"/>
    <w:qFormat/>
    <w:rsid w:val="000B3C73"/>
    <w:rPr>
      <w:b/>
      <w:bCs/>
    </w:rPr>
  </w:style>
  <w:style w:type="paragraph" w:styleId="Sinespaciado">
    <w:name w:val="No Spacing"/>
    <w:uiPriority w:val="1"/>
    <w:qFormat/>
    <w:rsid w:val="000B3C73"/>
    <w:pPr>
      <w:spacing w:after="0" w:line="240" w:lineRule="auto"/>
    </w:pPr>
    <w:rPr>
      <w:rFonts w:ascii="Calibri" w:eastAsia="Calibri" w:hAnsi="Calibri" w:cs="Times New Roman"/>
    </w:rPr>
  </w:style>
  <w:style w:type="paragraph" w:styleId="Prrafodelista">
    <w:name w:val="List Paragraph"/>
    <w:basedOn w:val="Normal"/>
    <w:uiPriority w:val="34"/>
    <w:qFormat/>
    <w:rsid w:val="000B3C73"/>
    <w:pPr>
      <w:spacing w:after="200" w:line="276" w:lineRule="auto"/>
      <w:ind w:left="720"/>
      <w:contextualSpacing/>
    </w:pPr>
    <w:rPr>
      <w:rFonts w:ascii="Calibri" w:eastAsia="Calibri" w:hAnsi="Calibri"/>
      <w:sz w:val="22"/>
      <w:szCs w:val="22"/>
      <w:lang w:val="es-MX" w:eastAsia="en-US"/>
    </w:rPr>
  </w:style>
  <w:style w:type="paragraph" w:styleId="Textoindependiente">
    <w:name w:val="Body Text"/>
    <w:basedOn w:val="Normal"/>
    <w:link w:val="TextoindependienteCar"/>
    <w:rsid w:val="000B3C73"/>
    <w:pPr>
      <w:widowControl w:val="0"/>
    </w:pPr>
    <w:rPr>
      <w:b/>
      <w:sz w:val="20"/>
      <w:szCs w:val="20"/>
      <w:lang w:val="es-ES_tradnl"/>
    </w:rPr>
  </w:style>
  <w:style w:type="character" w:customStyle="1" w:styleId="TextoindependienteCar">
    <w:name w:val="Texto independiente Car"/>
    <w:basedOn w:val="Fuentedeprrafopredeter"/>
    <w:link w:val="Textoindependiente"/>
    <w:rsid w:val="000B3C73"/>
    <w:rPr>
      <w:rFonts w:ascii="Times New Roman" w:eastAsia="Times New Roman" w:hAnsi="Times New Roman" w:cs="Times New Roman"/>
      <w:b/>
      <w:sz w:val="20"/>
      <w:szCs w:val="20"/>
      <w:lang w:val="es-ES_tradnl" w:eastAsia="es-ES"/>
    </w:rPr>
  </w:style>
  <w:style w:type="paragraph" w:customStyle="1" w:styleId="Textoindependiente21">
    <w:name w:val="Texto independiente 21"/>
    <w:basedOn w:val="Normal"/>
    <w:rsid w:val="000B3C73"/>
    <w:rPr>
      <w:rFonts w:ascii="Arial" w:hAnsi="Arial"/>
      <w:szCs w:val="20"/>
    </w:rPr>
  </w:style>
  <w:style w:type="paragraph" w:customStyle="1" w:styleId="Texto">
    <w:name w:val="Texto"/>
    <w:basedOn w:val="Normal"/>
    <w:link w:val="TextoCar"/>
    <w:rsid w:val="000B3C73"/>
    <w:pPr>
      <w:spacing w:after="101" w:line="216" w:lineRule="exact"/>
      <w:ind w:firstLine="288"/>
      <w:jc w:val="both"/>
    </w:pPr>
    <w:rPr>
      <w:rFonts w:ascii="Arial" w:hAnsi="Arial"/>
      <w:sz w:val="18"/>
      <w:szCs w:val="18"/>
      <w:lang w:val="es-MX" w:eastAsia="en-US"/>
    </w:rPr>
  </w:style>
  <w:style w:type="character" w:customStyle="1" w:styleId="TextoCar">
    <w:name w:val="Texto Car"/>
    <w:link w:val="Texto"/>
    <w:locked/>
    <w:rsid w:val="000B3C73"/>
    <w:rPr>
      <w:rFonts w:ascii="Arial" w:eastAsia="Times New Roman" w:hAnsi="Arial" w:cs="Times New Roman"/>
      <w:sz w:val="18"/>
      <w:szCs w:val="18"/>
    </w:rPr>
  </w:style>
  <w:style w:type="paragraph" w:customStyle="1" w:styleId="Subttulos">
    <w:name w:val="Subtítulos"/>
    <w:basedOn w:val="Normal"/>
    <w:rsid w:val="000B3C73"/>
    <w:pPr>
      <w:jc w:val="center"/>
    </w:pPr>
    <w:rPr>
      <w:b/>
      <w:szCs w:val="20"/>
      <w:lang w:val="es-ES_tradnl"/>
    </w:rPr>
  </w:style>
  <w:style w:type="paragraph" w:customStyle="1" w:styleId="Ttulos">
    <w:name w:val="Títulos"/>
    <w:basedOn w:val="Normal"/>
    <w:next w:val="Subttulos"/>
    <w:rsid w:val="000B3C73"/>
    <w:pPr>
      <w:tabs>
        <w:tab w:val="right" w:leader="dot" w:pos="9356"/>
      </w:tabs>
      <w:jc w:val="center"/>
    </w:pPr>
    <w:rPr>
      <w:b/>
      <w:color w:val="000000"/>
      <w:sz w:val="28"/>
      <w:szCs w:val="20"/>
      <w:lang w:val="es-ES_tradnl"/>
    </w:rPr>
  </w:style>
  <w:style w:type="table" w:styleId="Tablaconcuadrcula">
    <w:name w:val="Table Grid"/>
    <w:basedOn w:val="Tablanormal"/>
    <w:uiPriority w:val="59"/>
    <w:rsid w:val="000B3C7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0B3C73"/>
    <w:rPr>
      <w:sz w:val="20"/>
      <w:szCs w:val="20"/>
      <w:lang w:val="es-ES_tradnl" w:eastAsia="en-US"/>
    </w:rPr>
  </w:style>
  <w:style w:type="character" w:customStyle="1" w:styleId="TextocomentarioCar">
    <w:name w:val="Texto comentario Car"/>
    <w:basedOn w:val="Fuentedeprrafopredeter"/>
    <w:link w:val="Textocomentario"/>
    <w:uiPriority w:val="99"/>
    <w:rsid w:val="000B3C7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0B3C73"/>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B3C73"/>
    <w:rPr>
      <w:b/>
      <w:bCs/>
    </w:rPr>
  </w:style>
  <w:style w:type="paragraph" w:customStyle="1" w:styleId="Default">
    <w:name w:val="Default"/>
    <w:rsid w:val="000B3C73"/>
    <w:pPr>
      <w:autoSpaceDE w:val="0"/>
      <w:autoSpaceDN w:val="0"/>
      <w:adjustRightInd w:val="0"/>
      <w:spacing w:after="0" w:line="240" w:lineRule="auto"/>
    </w:pPr>
    <w:rPr>
      <w:rFonts w:ascii="Bookman Old Style" w:eastAsia="Calibri" w:hAnsi="Bookman Old Style" w:cs="Bookman Old Style"/>
      <w:color w:val="000000"/>
      <w:sz w:val="24"/>
      <w:szCs w:val="24"/>
      <w:lang w:val="es-ES"/>
    </w:rPr>
  </w:style>
  <w:style w:type="paragraph" w:styleId="NormalWeb">
    <w:name w:val="Normal (Web)"/>
    <w:basedOn w:val="Normal"/>
    <w:uiPriority w:val="99"/>
    <w:unhideWhenUsed/>
    <w:rsid w:val="000B3C73"/>
    <w:pPr>
      <w:spacing w:before="100" w:beforeAutospacing="1" w:after="100" w:afterAutospacing="1"/>
    </w:pPr>
    <w:rPr>
      <w:lang w:val="es-MX" w:eastAsia="es-MX"/>
    </w:rPr>
  </w:style>
  <w:style w:type="character" w:styleId="Hipervnculo">
    <w:name w:val="Hyperlink"/>
    <w:uiPriority w:val="99"/>
    <w:unhideWhenUsed/>
    <w:rsid w:val="000B3C73"/>
    <w:rPr>
      <w:color w:val="0000FF"/>
      <w:u w:val="single"/>
    </w:rPr>
  </w:style>
  <w:style w:type="paragraph" w:customStyle="1" w:styleId="xl69">
    <w:name w:val="xl69"/>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18"/>
      <w:szCs w:val="18"/>
      <w:lang w:val="es-MX" w:eastAsia="es-MX"/>
    </w:rPr>
  </w:style>
  <w:style w:type="paragraph" w:customStyle="1" w:styleId="xl70">
    <w:name w:val="xl7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val="es-MX" w:eastAsia="es-MX"/>
    </w:rPr>
  </w:style>
  <w:style w:type="paragraph" w:customStyle="1" w:styleId="xl71">
    <w:name w:val="xl7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72">
    <w:name w:val="xl7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3">
    <w:name w:val="xl73"/>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val="es-MX" w:eastAsia="es-MX"/>
    </w:rPr>
  </w:style>
  <w:style w:type="paragraph" w:customStyle="1" w:styleId="xl74">
    <w:name w:val="xl7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5">
    <w:name w:val="xl75"/>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6">
    <w:name w:val="xl7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18"/>
      <w:szCs w:val="18"/>
      <w:lang w:val="es-MX" w:eastAsia="es-MX"/>
    </w:rPr>
  </w:style>
  <w:style w:type="paragraph" w:customStyle="1" w:styleId="xl77">
    <w:name w:val="xl77"/>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8">
    <w:name w:val="xl78"/>
    <w:basedOn w:val="Normal"/>
    <w:rsid w:val="000B3C73"/>
    <w:pPr>
      <w:pBdr>
        <w:top w:val="single" w:sz="8" w:space="0" w:color="auto"/>
        <w:left w:val="single" w:sz="8" w:space="0" w:color="auto"/>
        <w:right w:val="single" w:sz="8" w:space="0" w:color="auto"/>
      </w:pBdr>
      <w:shd w:val="clear" w:color="000000" w:fill="93CDDD"/>
      <w:spacing w:before="100" w:beforeAutospacing="1" w:after="100" w:afterAutospacing="1"/>
      <w:jc w:val="center"/>
      <w:textAlignment w:val="center"/>
    </w:pPr>
    <w:rPr>
      <w:rFonts w:ascii="Arial Narrow" w:hAnsi="Arial Narrow"/>
      <w:b/>
      <w:bCs/>
      <w:color w:val="000000"/>
      <w:lang w:val="es-MX" w:eastAsia="es-MX"/>
    </w:rPr>
  </w:style>
  <w:style w:type="paragraph" w:customStyle="1" w:styleId="xl79">
    <w:name w:val="xl79"/>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8"/>
      <w:szCs w:val="18"/>
      <w:lang w:val="es-MX" w:eastAsia="es-MX"/>
    </w:rPr>
  </w:style>
  <w:style w:type="paragraph" w:customStyle="1" w:styleId="xl80">
    <w:name w:val="xl8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81">
    <w:name w:val="xl8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2">
    <w:name w:val="xl8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3">
    <w:name w:val="xl83"/>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sz w:val="18"/>
      <w:szCs w:val="18"/>
      <w:lang w:val="es-MX" w:eastAsia="es-MX"/>
    </w:rPr>
  </w:style>
  <w:style w:type="paragraph" w:customStyle="1" w:styleId="xl84">
    <w:name w:val="xl8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5">
    <w:name w:val="xl85"/>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6">
    <w:name w:val="xl86"/>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87">
    <w:name w:val="xl87"/>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88">
    <w:name w:val="xl88"/>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8"/>
      <w:szCs w:val="18"/>
      <w:lang w:val="es-MX" w:eastAsia="es-MX"/>
    </w:rPr>
  </w:style>
  <w:style w:type="paragraph" w:customStyle="1" w:styleId="xl89">
    <w:name w:val="xl89"/>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90">
    <w:name w:val="xl90"/>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91">
    <w:name w:val="xl91"/>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8"/>
      <w:szCs w:val="18"/>
      <w:lang w:val="es-MX" w:eastAsia="es-MX"/>
    </w:rPr>
  </w:style>
  <w:style w:type="paragraph" w:customStyle="1" w:styleId="xl92">
    <w:name w:val="xl9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val="es-MX" w:eastAsia="es-MX"/>
    </w:rPr>
  </w:style>
  <w:style w:type="paragraph" w:customStyle="1" w:styleId="xl93">
    <w:name w:val="xl93"/>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val="es-MX" w:eastAsia="es-MX"/>
    </w:rPr>
  </w:style>
  <w:style w:type="paragraph" w:customStyle="1" w:styleId="xl94">
    <w:name w:val="xl94"/>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s-MX" w:eastAsia="es-MX"/>
    </w:rPr>
  </w:style>
  <w:style w:type="paragraph" w:customStyle="1" w:styleId="xl95">
    <w:name w:val="xl95"/>
    <w:basedOn w:val="Normal"/>
    <w:rsid w:val="000B3C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96">
    <w:name w:val="xl96"/>
    <w:basedOn w:val="Normal"/>
    <w:rsid w:val="000B3C73"/>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97">
    <w:name w:val="xl97"/>
    <w:basedOn w:val="Normal"/>
    <w:rsid w:val="000B3C73"/>
    <w:pPr>
      <w:pBdr>
        <w:top w:val="single" w:sz="4" w:space="0" w:color="auto"/>
        <w:left w:val="single" w:sz="4" w:space="0" w:color="auto"/>
        <w:right w:val="single" w:sz="4" w:space="0" w:color="auto"/>
      </w:pBdr>
      <w:spacing w:before="100" w:beforeAutospacing="1" w:after="100" w:afterAutospacing="1"/>
    </w:pPr>
    <w:rPr>
      <w:lang w:val="es-MX" w:eastAsia="es-MX"/>
    </w:rPr>
  </w:style>
  <w:style w:type="paragraph" w:customStyle="1" w:styleId="xl98">
    <w:name w:val="xl98"/>
    <w:basedOn w:val="Normal"/>
    <w:rsid w:val="000B3C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99">
    <w:name w:val="xl99"/>
    <w:basedOn w:val="Normal"/>
    <w:rsid w:val="000B3C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8"/>
      <w:szCs w:val="28"/>
      <w:lang w:val="es-MX" w:eastAsia="es-MX"/>
    </w:rPr>
  </w:style>
  <w:style w:type="paragraph" w:customStyle="1" w:styleId="xl100">
    <w:name w:val="xl100"/>
    <w:basedOn w:val="Normal"/>
    <w:rsid w:val="000B3C73"/>
    <w:pPr>
      <w:pBdr>
        <w:top w:val="single" w:sz="8" w:space="0" w:color="auto"/>
        <w:left w:val="single" w:sz="4" w:space="0" w:color="auto"/>
        <w:bottom w:val="single" w:sz="8" w:space="0" w:color="auto"/>
        <w:right w:val="single" w:sz="8" w:space="0" w:color="auto"/>
      </w:pBdr>
      <w:spacing w:before="100" w:beforeAutospacing="1" w:after="100" w:afterAutospacing="1"/>
    </w:pPr>
    <w:rPr>
      <w:lang w:val="es-MX" w:eastAsia="es-MX"/>
    </w:rPr>
  </w:style>
  <w:style w:type="character" w:customStyle="1" w:styleId="azulnew">
    <w:name w:val="azul_new"/>
    <w:basedOn w:val="Fuentedeprrafopredeter"/>
    <w:rsid w:val="000B3C73"/>
  </w:style>
  <w:style w:type="character" w:customStyle="1" w:styleId="apple-converted-space">
    <w:name w:val="apple-converted-space"/>
    <w:basedOn w:val="Fuentedeprrafopredeter"/>
    <w:rsid w:val="000B3C73"/>
  </w:style>
  <w:style w:type="paragraph" w:styleId="Textonotapie">
    <w:name w:val="footnote text"/>
    <w:basedOn w:val="Normal"/>
    <w:link w:val="TextonotapieCar"/>
    <w:uiPriority w:val="99"/>
    <w:unhideWhenUsed/>
    <w:rsid w:val="000B3C73"/>
    <w:rPr>
      <w:rFonts w:ascii="Cambria" w:eastAsia="MS Mincho" w:hAnsi="Cambria"/>
      <w:lang w:val="es-ES_tradnl"/>
    </w:rPr>
  </w:style>
  <w:style w:type="character" w:customStyle="1" w:styleId="TextonotapieCar">
    <w:name w:val="Texto nota pie Car"/>
    <w:basedOn w:val="Fuentedeprrafopredeter"/>
    <w:link w:val="Textonotapie"/>
    <w:uiPriority w:val="99"/>
    <w:rsid w:val="000B3C73"/>
    <w:rPr>
      <w:rFonts w:ascii="Cambria" w:eastAsia="MS Mincho" w:hAnsi="Cambria" w:cs="Times New Roman"/>
      <w:sz w:val="24"/>
      <w:szCs w:val="24"/>
      <w:lang w:val="es-ES_tradnl" w:eastAsia="es-ES"/>
    </w:rPr>
  </w:style>
  <w:style w:type="character" w:styleId="Refdenotaalpie">
    <w:name w:val="footnote reference"/>
    <w:uiPriority w:val="99"/>
    <w:unhideWhenUsed/>
    <w:rsid w:val="000B3C73"/>
    <w:rPr>
      <w:vertAlign w:val="superscript"/>
    </w:rPr>
  </w:style>
  <w:style w:type="paragraph" w:customStyle="1" w:styleId="xl262">
    <w:name w:val="xl262"/>
    <w:basedOn w:val="Normal"/>
    <w:rsid w:val="000B3C73"/>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263">
    <w:name w:val="xl263"/>
    <w:basedOn w:val="Normal"/>
    <w:rsid w:val="000B3C73"/>
    <w:pPr>
      <w:spacing w:before="100" w:beforeAutospacing="1" w:after="100" w:afterAutospacing="1"/>
    </w:pPr>
    <w:rPr>
      <w:rFonts w:ascii="Arial" w:hAnsi="Arial" w:cs="Arial"/>
      <w:sz w:val="18"/>
      <w:szCs w:val="18"/>
      <w:lang w:val="es-MX" w:eastAsia="es-MX"/>
    </w:rPr>
  </w:style>
  <w:style w:type="paragraph" w:customStyle="1" w:styleId="xl264">
    <w:name w:val="xl26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MX" w:eastAsia="es-MX"/>
    </w:rPr>
  </w:style>
  <w:style w:type="paragraph" w:customStyle="1" w:styleId="xl265">
    <w:name w:val="xl265"/>
    <w:basedOn w:val="Normal"/>
    <w:rsid w:val="000B3C73"/>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val="es-MX" w:eastAsia="es-MX"/>
    </w:rPr>
  </w:style>
  <w:style w:type="paragraph" w:customStyle="1" w:styleId="xl266">
    <w:name w:val="xl266"/>
    <w:basedOn w:val="Normal"/>
    <w:rsid w:val="000B3C73"/>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267">
    <w:name w:val="xl267"/>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lang w:val="es-MX" w:eastAsia="es-MX"/>
    </w:rPr>
  </w:style>
  <w:style w:type="paragraph" w:customStyle="1" w:styleId="xl268">
    <w:name w:val="xl268"/>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8"/>
      <w:szCs w:val="18"/>
      <w:lang w:val="es-MX" w:eastAsia="es-MX"/>
    </w:rPr>
  </w:style>
  <w:style w:type="paragraph" w:customStyle="1" w:styleId="xl269">
    <w:name w:val="xl269"/>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70">
    <w:name w:val="xl27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271">
    <w:name w:val="xl27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72">
    <w:name w:val="xl27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73">
    <w:name w:val="xl273"/>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74">
    <w:name w:val="xl27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275">
    <w:name w:val="xl275"/>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76">
    <w:name w:val="xl27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8"/>
      <w:szCs w:val="18"/>
      <w:lang w:val="es-MX" w:eastAsia="es-MX"/>
    </w:rPr>
  </w:style>
  <w:style w:type="paragraph" w:customStyle="1" w:styleId="xl277">
    <w:name w:val="xl277"/>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MX" w:eastAsia="es-MX"/>
    </w:rPr>
  </w:style>
  <w:style w:type="paragraph" w:customStyle="1" w:styleId="xl278">
    <w:name w:val="xl278"/>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val="es-MX" w:eastAsia="es-MX"/>
    </w:rPr>
  </w:style>
  <w:style w:type="paragraph" w:customStyle="1" w:styleId="xl279">
    <w:name w:val="xl279"/>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MX" w:eastAsia="es-MX"/>
    </w:rPr>
  </w:style>
  <w:style w:type="paragraph" w:customStyle="1" w:styleId="xl280">
    <w:name w:val="xl28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281">
    <w:name w:val="xl28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8"/>
      <w:szCs w:val="18"/>
      <w:lang w:val="es-MX" w:eastAsia="es-MX"/>
    </w:rPr>
  </w:style>
  <w:style w:type="paragraph" w:customStyle="1" w:styleId="xl282">
    <w:name w:val="xl282"/>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MX" w:eastAsia="es-MX"/>
    </w:rPr>
  </w:style>
  <w:style w:type="paragraph" w:customStyle="1" w:styleId="xl283">
    <w:name w:val="xl283"/>
    <w:basedOn w:val="Normal"/>
    <w:rsid w:val="000B3C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84">
    <w:name w:val="xl284"/>
    <w:basedOn w:val="Normal"/>
    <w:rsid w:val="000B3C7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85">
    <w:name w:val="xl285"/>
    <w:basedOn w:val="Normal"/>
    <w:rsid w:val="000B3C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86">
    <w:name w:val="xl28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lang w:val="es-MX" w:eastAsia="es-MX"/>
    </w:rPr>
  </w:style>
  <w:style w:type="paragraph" w:customStyle="1" w:styleId="xl287">
    <w:name w:val="xl287"/>
    <w:basedOn w:val="Normal"/>
    <w:rsid w:val="000B3C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88">
    <w:name w:val="xl288"/>
    <w:basedOn w:val="Normal"/>
    <w:rsid w:val="000B3C7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4823">
      <w:bodyDiv w:val="1"/>
      <w:marLeft w:val="0"/>
      <w:marRight w:val="0"/>
      <w:marTop w:val="0"/>
      <w:marBottom w:val="0"/>
      <w:divBdr>
        <w:top w:val="none" w:sz="0" w:space="0" w:color="auto"/>
        <w:left w:val="none" w:sz="0" w:space="0" w:color="auto"/>
        <w:bottom w:val="none" w:sz="0" w:space="0" w:color="auto"/>
        <w:right w:val="none" w:sz="0" w:space="0" w:color="auto"/>
      </w:divBdr>
    </w:div>
    <w:div w:id="16280061">
      <w:bodyDiv w:val="1"/>
      <w:marLeft w:val="0"/>
      <w:marRight w:val="0"/>
      <w:marTop w:val="0"/>
      <w:marBottom w:val="0"/>
      <w:divBdr>
        <w:top w:val="none" w:sz="0" w:space="0" w:color="auto"/>
        <w:left w:val="none" w:sz="0" w:space="0" w:color="auto"/>
        <w:bottom w:val="none" w:sz="0" w:space="0" w:color="auto"/>
        <w:right w:val="none" w:sz="0" w:space="0" w:color="auto"/>
      </w:divBdr>
    </w:div>
    <w:div w:id="30690314">
      <w:bodyDiv w:val="1"/>
      <w:marLeft w:val="0"/>
      <w:marRight w:val="0"/>
      <w:marTop w:val="0"/>
      <w:marBottom w:val="0"/>
      <w:divBdr>
        <w:top w:val="none" w:sz="0" w:space="0" w:color="auto"/>
        <w:left w:val="none" w:sz="0" w:space="0" w:color="auto"/>
        <w:bottom w:val="none" w:sz="0" w:space="0" w:color="auto"/>
        <w:right w:val="none" w:sz="0" w:space="0" w:color="auto"/>
      </w:divBdr>
    </w:div>
    <w:div w:id="35934996">
      <w:bodyDiv w:val="1"/>
      <w:marLeft w:val="0"/>
      <w:marRight w:val="0"/>
      <w:marTop w:val="0"/>
      <w:marBottom w:val="0"/>
      <w:divBdr>
        <w:top w:val="none" w:sz="0" w:space="0" w:color="auto"/>
        <w:left w:val="none" w:sz="0" w:space="0" w:color="auto"/>
        <w:bottom w:val="none" w:sz="0" w:space="0" w:color="auto"/>
        <w:right w:val="none" w:sz="0" w:space="0" w:color="auto"/>
      </w:divBdr>
    </w:div>
    <w:div w:id="39936934">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117915965">
      <w:bodyDiv w:val="1"/>
      <w:marLeft w:val="0"/>
      <w:marRight w:val="0"/>
      <w:marTop w:val="0"/>
      <w:marBottom w:val="0"/>
      <w:divBdr>
        <w:top w:val="none" w:sz="0" w:space="0" w:color="auto"/>
        <w:left w:val="none" w:sz="0" w:space="0" w:color="auto"/>
        <w:bottom w:val="none" w:sz="0" w:space="0" w:color="auto"/>
        <w:right w:val="none" w:sz="0" w:space="0" w:color="auto"/>
      </w:divBdr>
    </w:div>
    <w:div w:id="148910065">
      <w:bodyDiv w:val="1"/>
      <w:marLeft w:val="0"/>
      <w:marRight w:val="0"/>
      <w:marTop w:val="0"/>
      <w:marBottom w:val="0"/>
      <w:divBdr>
        <w:top w:val="none" w:sz="0" w:space="0" w:color="auto"/>
        <w:left w:val="none" w:sz="0" w:space="0" w:color="auto"/>
        <w:bottom w:val="none" w:sz="0" w:space="0" w:color="auto"/>
        <w:right w:val="none" w:sz="0" w:space="0" w:color="auto"/>
      </w:divBdr>
    </w:div>
    <w:div w:id="162939046">
      <w:bodyDiv w:val="1"/>
      <w:marLeft w:val="0"/>
      <w:marRight w:val="0"/>
      <w:marTop w:val="0"/>
      <w:marBottom w:val="0"/>
      <w:divBdr>
        <w:top w:val="none" w:sz="0" w:space="0" w:color="auto"/>
        <w:left w:val="none" w:sz="0" w:space="0" w:color="auto"/>
        <w:bottom w:val="none" w:sz="0" w:space="0" w:color="auto"/>
        <w:right w:val="none" w:sz="0" w:space="0" w:color="auto"/>
      </w:divBdr>
    </w:div>
    <w:div w:id="193932028">
      <w:bodyDiv w:val="1"/>
      <w:marLeft w:val="0"/>
      <w:marRight w:val="0"/>
      <w:marTop w:val="0"/>
      <w:marBottom w:val="0"/>
      <w:divBdr>
        <w:top w:val="none" w:sz="0" w:space="0" w:color="auto"/>
        <w:left w:val="none" w:sz="0" w:space="0" w:color="auto"/>
        <w:bottom w:val="none" w:sz="0" w:space="0" w:color="auto"/>
        <w:right w:val="none" w:sz="0" w:space="0" w:color="auto"/>
      </w:divBdr>
    </w:div>
    <w:div w:id="208148965">
      <w:bodyDiv w:val="1"/>
      <w:marLeft w:val="0"/>
      <w:marRight w:val="0"/>
      <w:marTop w:val="0"/>
      <w:marBottom w:val="0"/>
      <w:divBdr>
        <w:top w:val="none" w:sz="0" w:space="0" w:color="auto"/>
        <w:left w:val="none" w:sz="0" w:space="0" w:color="auto"/>
        <w:bottom w:val="none" w:sz="0" w:space="0" w:color="auto"/>
        <w:right w:val="none" w:sz="0" w:space="0" w:color="auto"/>
      </w:divBdr>
    </w:div>
    <w:div w:id="269513621">
      <w:bodyDiv w:val="1"/>
      <w:marLeft w:val="0"/>
      <w:marRight w:val="0"/>
      <w:marTop w:val="0"/>
      <w:marBottom w:val="0"/>
      <w:divBdr>
        <w:top w:val="none" w:sz="0" w:space="0" w:color="auto"/>
        <w:left w:val="none" w:sz="0" w:space="0" w:color="auto"/>
        <w:bottom w:val="none" w:sz="0" w:space="0" w:color="auto"/>
        <w:right w:val="none" w:sz="0" w:space="0" w:color="auto"/>
      </w:divBdr>
    </w:div>
    <w:div w:id="336351116">
      <w:bodyDiv w:val="1"/>
      <w:marLeft w:val="0"/>
      <w:marRight w:val="0"/>
      <w:marTop w:val="0"/>
      <w:marBottom w:val="0"/>
      <w:divBdr>
        <w:top w:val="none" w:sz="0" w:space="0" w:color="auto"/>
        <w:left w:val="none" w:sz="0" w:space="0" w:color="auto"/>
        <w:bottom w:val="none" w:sz="0" w:space="0" w:color="auto"/>
        <w:right w:val="none" w:sz="0" w:space="0" w:color="auto"/>
      </w:divBdr>
    </w:div>
    <w:div w:id="405340276">
      <w:bodyDiv w:val="1"/>
      <w:marLeft w:val="0"/>
      <w:marRight w:val="0"/>
      <w:marTop w:val="0"/>
      <w:marBottom w:val="0"/>
      <w:divBdr>
        <w:top w:val="none" w:sz="0" w:space="0" w:color="auto"/>
        <w:left w:val="none" w:sz="0" w:space="0" w:color="auto"/>
        <w:bottom w:val="none" w:sz="0" w:space="0" w:color="auto"/>
        <w:right w:val="none" w:sz="0" w:space="0" w:color="auto"/>
      </w:divBdr>
    </w:div>
    <w:div w:id="496304613">
      <w:bodyDiv w:val="1"/>
      <w:marLeft w:val="0"/>
      <w:marRight w:val="0"/>
      <w:marTop w:val="0"/>
      <w:marBottom w:val="0"/>
      <w:divBdr>
        <w:top w:val="none" w:sz="0" w:space="0" w:color="auto"/>
        <w:left w:val="none" w:sz="0" w:space="0" w:color="auto"/>
        <w:bottom w:val="none" w:sz="0" w:space="0" w:color="auto"/>
        <w:right w:val="none" w:sz="0" w:space="0" w:color="auto"/>
      </w:divBdr>
    </w:div>
    <w:div w:id="497041353">
      <w:bodyDiv w:val="1"/>
      <w:marLeft w:val="0"/>
      <w:marRight w:val="0"/>
      <w:marTop w:val="0"/>
      <w:marBottom w:val="0"/>
      <w:divBdr>
        <w:top w:val="none" w:sz="0" w:space="0" w:color="auto"/>
        <w:left w:val="none" w:sz="0" w:space="0" w:color="auto"/>
        <w:bottom w:val="none" w:sz="0" w:space="0" w:color="auto"/>
        <w:right w:val="none" w:sz="0" w:space="0" w:color="auto"/>
      </w:divBdr>
    </w:div>
    <w:div w:id="520896335">
      <w:bodyDiv w:val="1"/>
      <w:marLeft w:val="0"/>
      <w:marRight w:val="0"/>
      <w:marTop w:val="0"/>
      <w:marBottom w:val="0"/>
      <w:divBdr>
        <w:top w:val="none" w:sz="0" w:space="0" w:color="auto"/>
        <w:left w:val="none" w:sz="0" w:space="0" w:color="auto"/>
        <w:bottom w:val="none" w:sz="0" w:space="0" w:color="auto"/>
        <w:right w:val="none" w:sz="0" w:space="0" w:color="auto"/>
      </w:divBdr>
    </w:div>
    <w:div w:id="570772496">
      <w:bodyDiv w:val="1"/>
      <w:marLeft w:val="0"/>
      <w:marRight w:val="0"/>
      <w:marTop w:val="0"/>
      <w:marBottom w:val="0"/>
      <w:divBdr>
        <w:top w:val="none" w:sz="0" w:space="0" w:color="auto"/>
        <w:left w:val="none" w:sz="0" w:space="0" w:color="auto"/>
        <w:bottom w:val="none" w:sz="0" w:space="0" w:color="auto"/>
        <w:right w:val="none" w:sz="0" w:space="0" w:color="auto"/>
      </w:divBdr>
    </w:div>
    <w:div w:id="616065168">
      <w:bodyDiv w:val="1"/>
      <w:marLeft w:val="0"/>
      <w:marRight w:val="0"/>
      <w:marTop w:val="0"/>
      <w:marBottom w:val="0"/>
      <w:divBdr>
        <w:top w:val="none" w:sz="0" w:space="0" w:color="auto"/>
        <w:left w:val="none" w:sz="0" w:space="0" w:color="auto"/>
        <w:bottom w:val="none" w:sz="0" w:space="0" w:color="auto"/>
        <w:right w:val="none" w:sz="0" w:space="0" w:color="auto"/>
      </w:divBdr>
    </w:div>
    <w:div w:id="735586253">
      <w:bodyDiv w:val="1"/>
      <w:marLeft w:val="0"/>
      <w:marRight w:val="0"/>
      <w:marTop w:val="0"/>
      <w:marBottom w:val="0"/>
      <w:divBdr>
        <w:top w:val="none" w:sz="0" w:space="0" w:color="auto"/>
        <w:left w:val="none" w:sz="0" w:space="0" w:color="auto"/>
        <w:bottom w:val="none" w:sz="0" w:space="0" w:color="auto"/>
        <w:right w:val="none" w:sz="0" w:space="0" w:color="auto"/>
      </w:divBdr>
    </w:div>
    <w:div w:id="739984940">
      <w:bodyDiv w:val="1"/>
      <w:marLeft w:val="0"/>
      <w:marRight w:val="0"/>
      <w:marTop w:val="0"/>
      <w:marBottom w:val="0"/>
      <w:divBdr>
        <w:top w:val="none" w:sz="0" w:space="0" w:color="auto"/>
        <w:left w:val="none" w:sz="0" w:space="0" w:color="auto"/>
        <w:bottom w:val="none" w:sz="0" w:space="0" w:color="auto"/>
        <w:right w:val="none" w:sz="0" w:space="0" w:color="auto"/>
      </w:divBdr>
    </w:div>
    <w:div w:id="762645200">
      <w:bodyDiv w:val="1"/>
      <w:marLeft w:val="0"/>
      <w:marRight w:val="0"/>
      <w:marTop w:val="0"/>
      <w:marBottom w:val="0"/>
      <w:divBdr>
        <w:top w:val="none" w:sz="0" w:space="0" w:color="auto"/>
        <w:left w:val="none" w:sz="0" w:space="0" w:color="auto"/>
        <w:bottom w:val="none" w:sz="0" w:space="0" w:color="auto"/>
        <w:right w:val="none" w:sz="0" w:space="0" w:color="auto"/>
      </w:divBdr>
    </w:div>
    <w:div w:id="789200706">
      <w:bodyDiv w:val="1"/>
      <w:marLeft w:val="0"/>
      <w:marRight w:val="0"/>
      <w:marTop w:val="0"/>
      <w:marBottom w:val="0"/>
      <w:divBdr>
        <w:top w:val="none" w:sz="0" w:space="0" w:color="auto"/>
        <w:left w:val="none" w:sz="0" w:space="0" w:color="auto"/>
        <w:bottom w:val="none" w:sz="0" w:space="0" w:color="auto"/>
        <w:right w:val="none" w:sz="0" w:space="0" w:color="auto"/>
      </w:divBdr>
    </w:div>
    <w:div w:id="805006713">
      <w:bodyDiv w:val="1"/>
      <w:marLeft w:val="0"/>
      <w:marRight w:val="0"/>
      <w:marTop w:val="0"/>
      <w:marBottom w:val="0"/>
      <w:divBdr>
        <w:top w:val="none" w:sz="0" w:space="0" w:color="auto"/>
        <w:left w:val="none" w:sz="0" w:space="0" w:color="auto"/>
        <w:bottom w:val="none" w:sz="0" w:space="0" w:color="auto"/>
        <w:right w:val="none" w:sz="0" w:space="0" w:color="auto"/>
      </w:divBdr>
    </w:div>
    <w:div w:id="851069462">
      <w:bodyDiv w:val="1"/>
      <w:marLeft w:val="0"/>
      <w:marRight w:val="0"/>
      <w:marTop w:val="0"/>
      <w:marBottom w:val="0"/>
      <w:divBdr>
        <w:top w:val="none" w:sz="0" w:space="0" w:color="auto"/>
        <w:left w:val="none" w:sz="0" w:space="0" w:color="auto"/>
        <w:bottom w:val="none" w:sz="0" w:space="0" w:color="auto"/>
        <w:right w:val="none" w:sz="0" w:space="0" w:color="auto"/>
      </w:divBdr>
    </w:div>
    <w:div w:id="857739327">
      <w:bodyDiv w:val="1"/>
      <w:marLeft w:val="0"/>
      <w:marRight w:val="0"/>
      <w:marTop w:val="0"/>
      <w:marBottom w:val="0"/>
      <w:divBdr>
        <w:top w:val="none" w:sz="0" w:space="0" w:color="auto"/>
        <w:left w:val="none" w:sz="0" w:space="0" w:color="auto"/>
        <w:bottom w:val="none" w:sz="0" w:space="0" w:color="auto"/>
        <w:right w:val="none" w:sz="0" w:space="0" w:color="auto"/>
      </w:divBdr>
    </w:div>
    <w:div w:id="865754757">
      <w:bodyDiv w:val="1"/>
      <w:marLeft w:val="0"/>
      <w:marRight w:val="0"/>
      <w:marTop w:val="0"/>
      <w:marBottom w:val="0"/>
      <w:divBdr>
        <w:top w:val="none" w:sz="0" w:space="0" w:color="auto"/>
        <w:left w:val="none" w:sz="0" w:space="0" w:color="auto"/>
        <w:bottom w:val="none" w:sz="0" w:space="0" w:color="auto"/>
        <w:right w:val="none" w:sz="0" w:space="0" w:color="auto"/>
      </w:divBdr>
    </w:div>
    <w:div w:id="894898270">
      <w:bodyDiv w:val="1"/>
      <w:marLeft w:val="0"/>
      <w:marRight w:val="0"/>
      <w:marTop w:val="0"/>
      <w:marBottom w:val="0"/>
      <w:divBdr>
        <w:top w:val="none" w:sz="0" w:space="0" w:color="auto"/>
        <w:left w:val="none" w:sz="0" w:space="0" w:color="auto"/>
        <w:bottom w:val="none" w:sz="0" w:space="0" w:color="auto"/>
        <w:right w:val="none" w:sz="0" w:space="0" w:color="auto"/>
      </w:divBdr>
    </w:div>
    <w:div w:id="904146016">
      <w:bodyDiv w:val="1"/>
      <w:marLeft w:val="0"/>
      <w:marRight w:val="0"/>
      <w:marTop w:val="0"/>
      <w:marBottom w:val="0"/>
      <w:divBdr>
        <w:top w:val="none" w:sz="0" w:space="0" w:color="auto"/>
        <w:left w:val="none" w:sz="0" w:space="0" w:color="auto"/>
        <w:bottom w:val="none" w:sz="0" w:space="0" w:color="auto"/>
        <w:right w:val="none" w:sz="0" w:space="0" w:color="auto"/>
      </w:divBdr>
    </w:div>
    <w:div w:id="956063692">
      <w:bodyDiv w:val="1"/>
      <w:marLeft w:val="0"/>
      <w:marRight w:val="0"/>
      <w:marTop w:val="0"/>
      <w:marBottom w:val="0"/>
      <w:divBdr>
        <w:top w:val="none" w:sz="0" w:space="0" w:color="auto"/>
        <w:left w:val="none" w:sz="0" w:space="0" w:color="auto"/>
        <w:bottom w:val="none" w:sz="0" w:space="0" w:color="auto"/>
        <w:right w:val="none" w:sz="0" w:space="0" w:color="auto"/>
      </w:divBdr>
    </w:div>
    <w:div w:id="957758158">
      <w:bodyDiv w:val="1"/>
      <w:marLeft w:val="0"/>
      <w:marRight w:val="0"/>
      <w:marTop w:val="0"/>
      <w:marBottom w:val="0"/>
      <w:divBdr>
        <w:top w:val="none" w:sz="0" w:space="0" w:color="auto"/>
        <w:left w:val="none" w:sz="0" w:space="0" w:color="auto"/>
        <w:bottom w:val="none" w:sz="0" w:space="0" w:color="auto"/>
        <w:right w:val="none" w:sz="0" w:space="0" w:color="auto"/>
      </w:divBdr>
    </w:div>
    <w:div w:id="962349187">
      <w:bodyDiv w:val="1"/>
      <w:marLeft w:val="0"/>
      <w:marRight w:val="0"/>
      <w:marTop w:val="0"/>
      <w:marBottom w:val="0"/>
      <w:divBdr>
        <w:top w:val="none" w:sz="0" w:space="0" w:color="auto"/>
        <w:left w:val="none" w:sz="0" w:space="0" w:color="auto"/>
        <w:bottom w:val="none" w:sz="0" w:space="0" w:color="auto"/>
        <w:right w:val="none" w:sz="0" w:space="0" w:color="auto"/>
      </w:divBdr>
    </w:div>
    <w:div w:id="972560830">
      <w:bodyDiv w:val="1"/>
      <w:marLeft w:val="0"/>
      <w:marRight w:val="0"/>
      <w:marTop w:val="0"/>
      <w:marBottom w:val="0"/>
      <w:divBdr>
        <w:top w:val="none" w:sz="0" w:space="0" w:color="auto"/>
        <w:left w:val="none" w:sz="0" w:space="0" w:color="auto"/>
        <w:bottom w:val="none" w:sz="0" w:space="0" w:color="auto"/>
        <w:right w:val="none" w:sz="0" w:space="0" w:color="auto"/>
      </w:divBdr>
    </w:div>
    <w:div w:id="1027681193">
      <w:bodyDiv w:val="1"/>
      <w:marLeft w:val="0"/>
      <w:marRight w:val="0"/>
      <w:marTop w:val="0"/>
      <w:marBottom w:val="0"/>
      <w:divBdr>
        <w:top w:val="none" w:sz="0" w:space="0" w:color="auto"/>
        <w:left w:val="none" w:sz="0" w:space="0" w:color="auto"/>
        <w:bottom w:val="none" w:sz="0" w:space="0" w:color="auto"/>
        <w:right w:val="none" w:sz="0" w:space="0" w:color="auto"/>
      </w:divBdr>
    </w:div>
    <w:div w:id="1095052411">
      <w:bodyDiv w:val="1"/>
      <w:marLeft w:val="0"/>
      <w:marRight w:val="0"/>
      <w:marTop w:val="0"/>
      <w:marBottom w:val="0"/>
      <w:divBdr>
        <w:top w:val="none" w:sz="0" w:space="0" w:color="auto"/>
        <w:left w:val="none" w:sz="0" w:space="0" w:color="auto"/>
        <w:bottom w:val="none" w:sz="0" w:space="0" w:color="auto"/>
        <w:right w:val="none" w:sz="0" w:space="0" w:color="auto"/>
      </w:divBdr>
    </w:div>
    <w:div w:id="1135833922">
      <w:bodyDiv w:val="1"/>
      <w:marLeft w:val="0"/>
      <w:marRight w:val="0"/>
      <w:marTop w:val="0"/>
      <w:marBottom w:val="0"/>
      <w:divBdr>
        <w:top w:val="none" w:sz="0" w:space="0" w:color="auto"/>
        <w:left w:val="none" w:sz="0" w:space="0" w:color="auto"/>
        <w:bottom w:val="none" w:sz="0" w:space="0" w:color="auto"/>
        <w:right w:val="none" w:sz="0" w:space="0" w:color="auto"/>
      </w:divBdr>
    </w:div>
    <w:div w:id="1145584123">
      <w:bodyDiv w:val="1"/>
      <w:marLeft w:val="0"/>
      <w:marRight w:val="0"/>
      <w:marTop w:val="0"/>
      <w:marBottom w:val="0"/>
      <w:divBdr>
        <w:top w:val="none" w:sz="0" w:space="0" w:color="auto"/>
        <w:left w:val="none" w:sz="0" w:space="0" w:color="auto"/>
        <w:bottom w:val="none" w:sz="0" w:space="0" w:color="auto"/>
        <w:right w:val="none" w:sz="0" w:space="0" w:color="auto"/>
      </w:divBdr>
    </w:div>
    <w:div w:id="1158499001">
      <w:bodyDiv w:val="1"/>
      <w:marLeft w:val="0"/>
      <w:marRight w:val="0"/>
      <w:marTop w:val="0"/>
      <w:marBottom w:val="0"/>
      <w:divBdr>
        <w:top w:val="none" w:sz="0" w:space="0" w:color="auto"/>
        <w:left w:val="none" w:sz="0" w:space="0" w:color="auto"/>
        <w:bottom w:val="none" w:sz="0" w:space="0" w:color="auto"/>
        <w:right w:val="none" w:sz="0" w:space="0" w:color="auto"/>
      </w:divBdr>
    </w:div>
    <w:div w:id="1160998639">
      <w:bodyDiv w:val="1"/>
      <w:marLeft w:val="0"/>
      <w:marRight w:val="0"/>
      <w:marTop w:val="0"/>
      <w:marBottom w:val="0"/>
      <w:divBdr>
        <w:top w:val="none" w:sz="0" w:space="0" w:color="auto"/>
        <w:left w:val="none" w:sz="0" w:space="0" w:color="auto"/>
        <w:bottom w:val="none" w:sz="0" w:space="0" w:color="auto"/>
        <w:right w:val="none" w:sz="0" w:space="0" w:color="auto"/>
      </w:divBdr>
    </w:div>
    <w:div w:id="1272320238">
      <w:bodyDiv w:val="1"/>
      <w:marLeft w:val="0"/>
      <w:marRight w:val="0"/>
      <w:marTop w:val="0"/>
      <w:marBottom w:val="0"/>
      <w:divBdr>
        <w:top w:val="none" w:sz="0" w:space="0" w:color="auto"/>
        <w:left w:val="none" w:sz="0" w:space="0" w:color="auto"/>
        <w:bottom w:val="none" w:sz="0" w:space="0" w:color="auto"/>
        <w:right w:val="none" w:sz="0" w:space="0" w:color="auto"/>
      </w:divBdr>
    </w:div>
    <w:div w:id="1278297130">
      <w:bodyDiv w:val="1"/>
      <w:marLeft w:val="0"/>
      <w:marRight w:val="0"/>
      <w:marTop w:val="0"/>
      <w:marBottom w:val="0"/>
      <w:divBdr>
        <w:top w:val="none" w:sz="0" w:space="0" w:color="auto"/>
        <w:left w:val="none" w:sz="0" w:space="0" w:color="auto"/>
        <w:bottom w:val="none" w:sz="0" w:space="0" w:color="auto"/>
        <w:right w:val="none" w:sz="0" w:space="0" w:color="auto"/>
      </w:divBdr>
    </w:div>
    <w:div w:id="1327397222">
      <w:bodyDiv w:val="1"/>
      <w:marLeft w:val="0"/>
      <w:marRight w:val="0"/>
      <w:marTop w:val="0"/>
      <w:marBottom w:val="0"/>
      <w:divBdr>
        <w:top w:val="none" w:sz="0" w:space="0" w:color="auto"/>
        <w:left w:val="none" w:sz="0" w:space="0" w:color="auto"/>
        <w:bottom w:val="none" w:sz="0" w:space="0" w:color="auto"/>
        <w:right w:val="none" w:sz="0" w:space="0" w:color="auto"/>
      </w:divBdr>
    </w:div>
    <w:div w:id="1368022636">
      <w:bodyDiv w:val="1"/>
      <w:marLeft w:val="0"/>
      <w:marRight w:val="0"/>
      <w:marTop w:val="0"/>
      <w:marBottom w:val="0"/>
      <w:divBdr>
        <w:top w:val="none" w:sz="0" w:space="0" w:color="auto"/>
        <w:left w:val="none" w:sz="0" w:space="0" w:color="auto"/>
        <w:bottom w:val="none" w:sz="0" w:space="0" w:color="auto"/>
        <w:right w:val="none" w:sz="0" w:space="0" w:color="auto"/>
      </w:divBdr>
    </w:div>
    <w:div w:id="1475639898">
      <w:bodyDiv w:val="1"/>
      <w:marLeft w:val="0"/>
      <w:marRight w:val="0"/>
      <w:marTop w:val="0"/>
      <w:marBottom w:val="0"/>
      <w:divBdr>
        <w:top w:val="none" w:sz="0" w:space="0" w:color="auto"/>
        <w:left w:val="none" w:sz="0" w:space="0" w:color="auto"/>
        <w:bottom w:val="none" w:sz="0" w:space="0" w:color="auto"/>
        <w:right w:val="none" w:sz="0" w:space="0" w:color="auto"/>
      </w:divBdr>
    </w:div>
    <w:div w:id="1550340198">
      <w:bodyDiv w:val="1"/>
      <w:marLeft w:val="0"/>
      <w:marRight w:val="0"/>
      <w:marTop w:val="0"/>
      <w:marBottom w:val="0"/>
      <w:divBdr>
        <w:top w:val="none" w:sz="0" w:space="0" w:color="auto"/>
        <w:left w:val="none" w:sz="0" w:space="0" w:color="auto"/>
        <w:bottom w:val="none" w:sz="0" w:space="0" w:color="auto"/>
        <w:right w:val="none" w:sz="0" w:space="0" w:color="auto"/>
      </w:divBdr>
    </w:div>
    <w:div w:id="1611081200">
      <w:bodyDiv w:val="1"/>
      <w:marLeft w:val="0"/>
      <w:marRight w:val="0"/>
      <w:marTop w:val="0"/>
      <w:marBottom w:val="0"/>
      <w:divBdr>
        <w:top w:val="none" w:sz="0" w:space="0" w:color="auto"/>
        <w:left w:val="none" w:sz="0" w:space="0" w:color="auto"/>
        <w:bottom w:val="none" w:sz="0" w:space="0" w:color="auto"/>
        <w:right w:val="none" w:sz="0" w:space="0" w:color="auto"/>
      </w:divBdr>
    </w:div>
    <w:div w:id="1614242385">
      <w:bodyDiv w:val="1"/>
      <w:marLeft w:val="0"/>
      <w:marRight w:val="0"/>
      <w:marTop w:val="0"/>
      <w:marBottom w:val="0"/>
      <w:divBdr>
        <w:top w:val="none" w:sz="0" w:space="0" w:color="auto"/>
        <w:left w:val="none" w:sz="0" w:space="0" w:color="auto"/>
        <w:bottom w:val="none" w:sz="0" w:space="0" w:color="auto"/>
        <w:right w:val="none" w:sz="0" w:space="0" w:color="auto"/>
      </w:divBdr>
    </w:div>
    <w:div w:id="1619067303">
      <w:bodyDiv w:val="1"/>
      <w:marLeft w:val="0"/>
      <w:marRight w:val="0"/>
      <w:marTop w:val="0"/>
      <w:marBottom w:val="0"/>
      <w:divBdr>
        <w:top w:val="none" w:sz="0" w:space="0" w:color="auto"/>
        <w:left w:val="none" w:sz="0" w:space="0" w:color="auto"/>
        <w:bottom w:val="none" w:sz="0" w:space="0" w:color="auto"/>
        <w:right w:val="none" w:sz="0" w:space="0" w:color="auto"/>
      </w:divBdr>
    </w:div>
    <w:div w:id="1669403740">
      <w:bodyDiv w:val="1"/>
      <w:marLeft w:val="0"/>
      <w:marRight w:val="0"/>
      <w:marTop w:val="0"/>
      <w:marBottom w:val="0"/>
      <w:divBdr>
        <w:top w:val="none" w:sz="0" w:space="0" w:color="auto"/>
        <w:left w:val="none" w:sz="0" w:space="0" w:color="auto"/>
        <w:bottom w:val="none" w:sz="0" w:space="0" w:color="auto"/>
        <w:right w:val="none" w:sz="0" w:space="0" w:color="auto"/>
      </w:divBdr>
    </w:div>
    <w:div w:id="1698852507">
      <w:bodyDiv w:val="1"/>
      <w:marLeft w:val="0"/>
      <w:marRight w:val="0"/>
      <w:marTop w:val="0"/>
      <w:marBottom w:val="0"/>
      <w:divBdr>
        <w:top w:val="none" w:sz="0" w:space="0" w:color="auto"/>
        <w:left w:val="none" w:sz="0" w:space="0" w:color="auto"/>
        <w:bottom w:val="none" w:sz="0" w:space="0" w:color="auto"/>
        <w:right w:val="none" w:sz="0" w:space="0" w:color="auto"/>
      </w:divBdr>
    </w:div>
    <w:div w:id="1752392457">
      <w:bodyDiv w:val="1"/>
      <w:marLeft w:val="0"/>
      <w:marRight w:val="0"/>
      <w:marTop w:val="0"/>
      <w:marBottom w:val="0"/>
      <w:divBdr>
        <w:top w:val="none" w:sz="0" w:space="0" w:color="auto"/>
        <w:left w:val="none" w:sz="0" w:space="0" w:color="auto"/>
        <w:bottom w:val="none" w:sz="0" w:space="0" w:color="auto"/>
        <w:right w:val="none" w:sz="0" w:space="0" w:color="auto"/>
      </w:divBdr>
    </w:div>
    <w:div w:id="1763796816">
      <w:bodyDiv w:val="1"/>
      <w:marLeft w:val="0"/>
      <w:marRight w:val="0"/>
      <w:marTop w:val="0"/>
      <w:marBottom w:val="0"/>
      <w:divBdr>
        <w:top w:val="none" w:sz="0" w:space="0" w:color="auto"/>
        <w:left w:val="none" w:sz="0" w:space="0" w:color="auto"/>
        <w:bottom w:val="none" w:sz="0" w:space="0" w:color="auto"/>
        <w:right w:val="none" w:sz="0" w:space="0" w:color="auto"/>
      </w:divBdr>
    </w:div>
    <w:div w:id="1790776770">
      <w:bodyDiv w:val="1"/>
      <w:marLeft w:val="0"/>
      <w:marRight w:val="0"/>
      <w:marTop w:val="0"/>
      <w:marBottom w:val="0"/>
      <w:divBdr>
        <w:top w:val="none" w:sz="0" w:space="0" w:color="auto"/>
        <w:left w:val="none" w:sz="0" w:space="0" w:color="auto"/>
        <w:bottom w:val="none" w:sz="0" w:space="0" w:color="auto"/>
        <w:right w:val="none" w:sz="0" w:space="0" w:color="auto"/>
      </w:divBdr>
    </w:div>
    <w:div w:id="1810367253">
      <w:bodyDiv w:val="1"/>
      <w:marLeft w:val="0"/>
      <w:marRight w:val="0"/>
      <w:marTop w:val="0"/>
      <w:marBottom w:val="0"/>
      <w:divBdr>
        <w:top w:val="none" w:sz="0" w:space="0" w:color="auto"/>
        <w:left w:val="none" w:sz="0" w:space="0" w:color="auto"/>
        <w:bottom w:val="none" w:sz="0" w:space="0" w:color="auto"/>
        <w:right w:val="none" w:sz="0" w:space="0" w:color="auto"/>
      </w:divBdr>
    </w:div>
    <w:div w:id="1817532428">
      <w:bodyDiv w:val="1"/>
      <w:marLeft w:val="0"/>
      <w:marRight w:val="0"/>
      <w:marTop w:val="0"/>
      <w:marBottom w:val="0"/>
      <w:divBdr>
        <w:top w:val="none" w:sz="0" w:space="0" w:color="auto"/>
        <w:left w:val="none" w:sz="0" w:space="0" w:color="auto"/>
        <w:bottom w:val="none" w:sz="0" w:space="0" w:color="auto"/>
        <w:right w:val="none" w:sz="0" w:space="0" w:color="auto"/>
      </w:divBdr>
    </w:div>
    <w:div w:id="1830367453">
      <w:bodyDiv w:val="1"/>
      <w:marLeft w:val="0"/>
      <w:marRight w:val="0"/>
      <w:marTop w:val="0"/>
      <w:marBottom w:val="0"/>
      <w:divBdr>
        <w:top w:val="none" w:sz="0" w:space="0" w:color="auto"/>
        <w:left w:val="none" w:sz="0" w:space="0" w:color="auto"/>
        <w:bottom w:val="none" w:sz="0" w:space="0" w:color="auto"/>
        <w:right w:val="none" w:sz="0" w:space="0" w:color="auto"/>
      </w:divBdr>
    </w:div>
    <w:div w:id="1850021589">
      <w:bodyDiv w:val="1"/>
      <w:marLeft w:val="0"/>
      <w:marRight w:val="0"/>
      <w:marTop w:val="0"/>
      <w:marBottom w:val="0"/>
      <w:divBdr>
        <w:top w:val="none" w:sz="0" w:space="0" w:color="auto"/>
        <w:left w:val="none" w:sz="0" w:space="0" w:color="auto"/>
        <w:bottom w:val="none" w:sz="0" w:space="0" w:color="auto"/>
        <w:right w:val="none" w:sz="0" w:space="0" w:color="auto"/>
      </w:divBdr>
    </w:div>
    <w:div w:id="1901361425">
      <w:bodyDiv w:val="1"/>
      <w:marLeft w:val="0"/>
      <w:marRight w:val="0"/>
      <w:marTop w:val="0"/>
      <w:marBottom w:val="0"/>
      <w:divBdr>
        <w:top w:val="none" w:sz="0" w:space="0" w:color="auto"/>
        <w:left w:val="none" w:sz="0" w:space="0" w:color="auto"/>
        <w:bottom w:val="none" w:sz="0" w:space="0" w:color="auto"/>
        <w:right w:val="none" w:sz="0" w:space="0" w:color="auto"/>
      </w:divBdr>
    </w:div>
    <w:div w:id="1967612768">
      <w:bodyDiv w:val="1"/>
      <w:marLeft w:val="0"/>
      <w:marRight w:val="0"/>
      <w:marTop w:val="0"/>
      <w:marBottom w:val="0"/>
      <w:divBdr>
        <w:top w:val="none" w:sz="0" w:space="0" w:color="auto"/>
        <w:left w:val="none" w:sz="0" w:space="0" w:color="auto"/>
        <w:bottom w:val="none" w:sz="0" w:space="0" w:color="auto"/>
        <w:right w:val="none" w:sz="0" w:space="0" w:color="auto"/>
      </w:divBdr>
    </w:div>
    <w:div w:id="1969162254">
      <w:bodyDiv w:val="1"/>
      <w:marLeft w:val="0"/>
      <w:marRight w:val="0"/>
      <w:marTop w:val="0"/>
      <w:marBottom w:val="0"/>
      <w:divBdr>
        <w:top w:val="none" w:sz="0" w:space="0" w:color="auto"/>
        <w:left w:val="none" w:sz="0" w:space="0" w:color="auto"/>
        <w:bottom w:val="none" w:sz="0" w:space="0" w:color="auto"/>
        <w:right w:val="none" w:sz="0" w:space="0" w:color="auto"/>
      </w:divBdr>
    </w:div>
    <w:div w:id="1980457611">
      <w:bodyDiv w:val="1"/>
      <w:marLeft w:val="0"/>
      <w:marRight w:val="0"/>
      <w:marTop w:val="0"/>
      <w:marBottom w:val="0"/>
      <w:divBdr>
        <w:top w:val="none" w:sz="0" w:space="0" w:color="auto"/>
        <w:left w:val="none" w:sz="0" w:space="0" w:color="auto"/>
        <w:bottom w:val="none" w:sz="0" w:space="0" w:color="auto"/>
        <w:right w:val="none" w:sz="0" w:space="0" w:color="auto"/>
      </w:divBdr>
    </w:div>
    <w:div w:id="2006126876">
      <w:bodyDiv w:val="1"/>
      <w:marLeft w:val="0"/>
      <w:marRight w:val="0"/>
      <w:marTop w:val="0"/>
      <w:marBottom w:val="0"/>
      <w:divBdr>
        <w:top w:val="none" w:sz="0" w:space="0" w:color="auto"/>
        <w:left w:val="none" w:sz="0" w:space="0" w:color="auto"/>
        <w:bottom w:val="none" w:sz="0" w:space="0" w:color="auto"/>
        <w:right w:val="none" w:sz="0" w:space="0" w:color="auto"/>
      </w:divBdr>
    </w:div>
    <w:div w:id="2020816999">
      <w:bodyDiv w:val="1"/>
      <w:marLeft w:val="0"/>
      <w:marRight w:val="0"/>
      <w:marTop w:val="0"/>
      <w:marBottom w:val="0"/>
      <w:divBdr>
        <w:top w:val="none" w:sz="0" w:space="0" w:color="auto"/>
        <w:left w:val="none" w:sz="0" w:space="0" w:color="auto"/>
        <w:bottom w:val="none" w:sz="0" w:space="0" w:color="auto"/>
        <w:right w:val="none" w:sz="0" w:space="0" w:color="auto"/>
      </w:divBdr>
    </w:div>
    <w:div w:id="2110931084">
      <w:bodyDiv w:val="1"/>
      <w:marLeft w:val="0"/>
      <w:marRight w:val="0"/>
      <w:marTop w:val="0"/>
      <w:marBottom w:val="0"/>
      <w:divBdr>
        <w:top w:val="none" w:sz="0" w:space="0" w:color="auto"/>
        <w:left w:val="none" w:sz="0" w:space="0" w:color="auto"/>
        <w:bottom w:val="none" w:sz="0" w:space="0" w:color="auto"/>
        <w:right w:val="none" w:sz="0" w:space="0" w:color="auto"/>
      </w:divBdr>
    </w:div>
    <w:div w:id="2125036865">
      <w:bodyDiv w:val="1"/>
      <w:marLeft w:val="0"/>
      <w:marRight w:val="0"/>
      <w:marTop w:val="0"/>
      <w:marBottom w:val="0"/>
      <w:divBdr>
        <w:top w:val="none" w:sz="0" w:space="0" w:color="auto"/>
        <w:left w:val="none" w:sz="0" w:space="0" w:color="auto"/>
        <w:bottom w:val="none" w:sz="0" w:space="0" w:color="auto"/>
        <w:right w:val="none" w:sz="0" w:space="0" w:color="auto"/>
      </w:divBdr>
    </w:div>
    <w:div w:id="214723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wmf"/><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6FE99-B8E8-4AB7-BD28-230EC66BF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23753</Words>
  <Characters>130643</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2018-12-24T17:13:00Z</cp:lastPrinted>
  <dcterms:created xsi:type="dcterms:W3CDTF">2019-03-15T19:19:00Z</dcterms:created>
  <dcterms:modified xsi:type="dcterms:W3CDTF">2019-03-19T18:46:00Z</dcterms:modified>
</cp:coreProperties>
</file>